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CDD13D" w14:textId="74C2B986" w:rsidR="002B6B60" w:rsidRPr="00421AE4" w:rsidRDefault="002B6B60" w:rsidP="002B6B60">
      <w:pPr>
        <w:spacing w:after="0" w:line="276" w:lineRule="auto"/>
        <w:rPr>
          <w:b/>
          <w:bCs/>
        </w:rPr>
      </w:pPr>
      <w:bookmarkStart w:id="0" w:name="_Hlk167963823"/>
      <w:r>
        <w:rPr>
          <w:b/>
          <w:bCs/>
        </w:rPr>
        <w:t xml:space="preserve">Zał. 1. do </w:t>
      </w:r>
      <w:r w:rsidRPr="00421AE4">
        <w:rPr>
          <w:b/>
          <w:bCs/>
        </w:rPr>
        <w:t>Strategii rozwoju Euroregionu Śląsk Cieszyński na lata 2021-202</w:t>
      </w:r>
      <w:r w:rsidR="00AF2A86">
        <w:rPr>
          <w:b/>
          <w:bCs/>
        </w:rPr>
        <w:t>7</w:t>
      </w:r>
    </w:p>
    <w:p w14:paraId="7E244CF7" w14:textId="77777777" w:rsidR="00BE63B6" w:rsidRDefault="00BE63B6" w:rsidP="00BE63B6">
      <w:pPr>
        <w:spacing w:after="0" w:line="276" w:lineRule="auto"/>
        <w:rPr>
          <w:b/>
          <w:bCs/>
        </w:rPr>
      </w:pPr>
    </w:p>
    <w:p w14:paraId="631022E9" w14:textId="77777777" w:rsidR="000752CB" w:rsidRPr="0023683D" w:rsidRDefault="000752CB" w:rsidP="000752CB">
      <w:pPr>
        <w:spacing w:after="0" w:line="276" w:lineRule="auto"/>
        <w:jc w:val="center"/>
        <w:rPr>
          <w:b/>
          <w:bCs/>
        </w:rPr>
      </w:pPr>
      <w:r w:rsidRPr="0023683D">
        <w:rPr>
          <w:b/>
          <w:bCs/>
        </w:rPr>
        <w:t xml:space="preserve">PODSTAWOWE ZALECENIA DOTYCZĄCE TWORZENIA I ROZWOJU </w:t>
      </w:r>
    </w:p>
    <w:p w14:paraId="7D183E66" w14:textId="1B87F1D9" w:rsidR="000752CB" w:rsidRPr="0023683D" w:rsidRDefault="000752CB" w:rsidP="000752CB">
      <w:pPr>
        <w:spacing w:after="0" w:line="276" w:lineRule="auto"/>
        <w:jc w:val="center"/>
        <w:rPr>
          <w:b/>
          <w:bCs/>
        </w:rPr>
      </w:pPr>
      <w:r w:rsidRPr="0023683D">
        <w:rPr>
          <w:b/>
          <w:bCs/>
        </w:rPr>
        <w:t>TRANSGRANICZNYCH OBSZARÓW FUNKCJONALNYCH W EUROREGIONIE ŚLĄSK CIESZYŃSKI</w:t>
      </w:r>
      <w:r w:rsidR="001423E4">
        <w:rPr>
          <w:rStyle w:val="Odwoanieprzypisudolnego"/>
          <w:b/>
          <w:bCs/>
        </w:rPr>
        <w:footnoteReference w:id="1"/>
      </w:r>
    </w:p>
    <w:p w14:paraId="0CA82A67" w14:textId="77777777" w:rsidR="000752CB" w:rsidRPr="0023683D" w:rsidRDefault="000752CB" w:rsidP="002B6B60">
      <w:pPr>
        <w:spacing w:after="0" w:line="276" w:lineRule="auto"/>
        <w:rPr>
          <w:b/>
          <w:bCs/>
        </w:rPr>
      </w:pPr>
    </w:p>
    <w:p w14:paraId="2A6F7920" w14:textId="77777777" w:rsidR="000752CB" w:rsidRPr="0023683D" w:rsidRDefault="000752CB" w:rsidP="000752CB">
      <w:pPr>
        <w:spacing w:after="0" w:line="276" w:lineRule="auto"/>
        <w:rPr>
          <w:b/>
          <w:bCs/>
        </w:rPr>
      </w:pPr>
      <w:r w:rsidRPr="0023683D">
        <w:rPr>
          <w:b/>
          <w:bCs/>
        </w:rPr>
        <w:t>Wprowadzenie</w:t>
      </w:r>
    </w:p>
    <w:p w14:paraId="118693F3" w14:textId="77777777" w:rsidR="000752CB" w:rsidRPr="0023683D" w:rsidRDefault="000752CB" w:rsidP="000752CB">
      <w:pPr>
        <w:spacing w:after="0" w:line="276" w:lineRule="auto"/>
        <w:jc w:val="both"/>
      </w:pPr>
    </w:p>
    <w:p w14:paraId="72E68427" w14:textId="4A9B1E1B" w:rsidR="000752CB" w:rsidRPr="0023683D" w:rsidRDefault="000752CB" w:rsidP="000752CB">
      <w:pPr>
        <w:spacing w:after="0" w:line="276" w:lineRule="auto"/>
        <w:jc w:val="both"/>
      </w:pPr>
      <w:r w:rsidRPr="0023683D">
        <w:t xml:space="preserve">W związku z rosnącymi współzależnościami transgranicznymi w Unii Europejskiej transgraniczny rozwój terytorialny nabiera coraz większego znaczenia. Granice rozumiane są jako złożone jednostki, a pogranicza jako regiony transgraniczne. Te ostatnie rozpatruje się jako przestrzenie funkcjonalne, laboratoria stref integracji i stref przejściowych oraz jednostki zarządzania transgranicznego. Dotyczy to także pogranicza polsko-czeskiego w Euroregionie Śląsk Cieszyński, w </w:t>
      </w:r>
      <w:r w:rsidRPr="006E502B">
        <w:t xml:space="preserve">którym </w:t>
      </w:r>
      <w:r w:rsidR="006E502B" w:rsidRPr="006E502B">
        <w:t>określone</w:t>
      </w:r>
      <w:r w:rsidRPr="006E502B">
        <w:t xml:space="preserve"> wstępnie</w:t>
      </w:r>
      <w:r w:rsidRPr="0023683D">
        <w:t xml:space="preserve"> </w:t>
      </w:r>
      <w:r w:rsidR="00162192">
        <w:t>t</w:t>
      </w:r>
      <w:r w:rsidRPr="0023683D">
        <w:t xml:space="preserve">ransgraniczne </w:t>
      </w:r>
      <w:r w:rsidR="00162192">
        <w:t>o</w:t>
      </w:r>
      <w:r w:rsidRPr="0023683D">
        <w:t xml:space="preserve">bszary </w:t>
      </w:r>
      <w:r w:rsidR="00162192">
        <w:t>f</w:t>
      </w:r>
      <w:r w:rsidRPr="0023683D">
        <w:t xml:space="preserve">unkcjonalne </w:t>
      </w:r>
      <w:r w:rsidR="00162192">
        <w:t xml:space="preserve">(TOF) </w:t>
      </w:r>
      <w:r w:rsidRPr="0023683D">
        <w:t>wyznaczają nowy kierunek w osiąganiu spójności terytorium podzielonego granicą.</w:t>
      </w:r>
    </w:p>
    <w:p w14:paraId="1068B2D3" w14:textId="77777777" w:rsidR="000752CB" w:rsidRPr="0023683D" w:rsidRDefault="000752CB" w:rsidP="000752CB">
      <w:pPr>
        <w:spacing w:after="0" w:line="276" w:lineRule="auto"/>
        <w:jc w:val="both"/>
      </w:pPr>
    </w:p>
    <w:p w14:paraId="1BA0F670" w14:textId="77777777" w:rsidR="000752CB" w:rsidRPr="0023683D" w:rsidRDefault="000752CB" w:rsidP="000752CB">
      <w:pPr>
        <w:spacing w:after="0" w:line="276" w:lineRule="auto"/>
        <w:jc w:val="both"/>
      </w:pPr>
    </w:p>
    <w:p w14:paraId="091AD97E" w14:textId="2FD7DB01" w:rsidR="000752CB" w:rsidRPr="0023683D" w:rsidRDefault="000752CB" w:rsidP="000752CB">
      <w:pPr>
        <w:spacing w:after="0" w:line="276" w:lineRule="auto"/>
        <w:jc w:val="both"/>
        <w:rPr>
          <w:b/>
          <w:bCs/>
        </w:rPr>
      </w:pPr>
      <w:r w:rsidRPr="0023683D">
        <w:rPr>
          <w:b/>
          <w:bCs/>
        </w:rPr>
        <w:t>Obszary funkcjonalne i ich typologia, transgraniczn</w:t>
      </w:r>
      <w:r w:rsidR="006E502B">
        <w:rPr>
          <w:b/>
          <w:bCs/>
        </w:rPr>
        <w:t>e</w:t>
      </w:r>
      <w:r w:rsidRPr="0023683D">
        <w:rPr>
          <w:b/>
          <w:bCs/>
        </w:rPr>
        <w:t xml:space="preserve"> obszar</w:t>
      </w:r>
      <w:r w:rsidR="006E502B">
        <w:rPr>
          <w:b/>
          <w:bCs/>
        </w:rPr>
        <w:t>y</w:t>
      </w:r>
      <w:r w:rsidRPr="0023683D">
        <w:rPr>
          <w:b/>
          <w:bCs/>
        </w:rPr>
        <w:t xml:space="preserve"> funkcjonaln</w:t>
      </w:r>
      <w:r w:rsidR="006E502B">
        <w:rPr>
          <w:b/>
          <w:bCs/>
        </w:rPr>
        <w:t>e</w:t>
      </w:r>
    </w:p>
    <w:p w14:paraId="66167017" w14:textId="77777777" w:rsidR="000752CB" w:rsidRPr="0023683D" w:rsidRDefault="000752CB" w:rsidP="000752CB">
      <w:pPr>
        <w:spacing w:after="0" w:line="276" w:lineRule="auto"/>
        <w:jc w:val="both"/>
        <w:rPr>
          <w:b/>
          <w:bCs/>
        </w:rPr>
      </w:pPr>
    </w:p>
    <w:p w14:paraId="05D720D7" w14:textId="54B1E15A" w:rsidR="000752CB" w:rsidRPr="0023683D" w:rsidRDefault="000752CB" w:rsidP="000752CB">
      <w:pPr>
        <w:spacing w:after="0" w:line="276" w:lineRule="auto"/>
        <w:jc w:val="both"/>
      </w:pPr>
      <w:r w:rsidRPr="0023683D">
        <w:t xml:space="preserve">Obszar funkcjonalny to obszar lub region, który z politycznego i/lub społecznego i/lub gospodarczego punktu widzenia funkcjonuje jako jednolity system. Innymi słowy, obszar funkcjonalny </w:t>
      </w:r>
      <w:r>
        <w:t>wyznaczany</w:t>
      </w:r>
      <w:r w:rsidRPr="0023683D">
        <w:t xml:space="preserve"> jest przez wewnętrzny system interakcji i powiązań, i obejmuje w całości lub w części terytorium kilku jednostek administracyjno-terytorialnych, które współpracują i są </w:t>
      </w:r>
      <w:r>
        <w:t xml:space="preserve">ze sobą </w:t>
      </w:r>
      <w:r w:rsidRPr="0023683D">
        <w:t xml:space="preserve">powiązane/połączone działalnością gospodarczą, komunikacyjną, transportową </w:t>
      </w:r>
      <w:r w:rsidR="00A2649B">
        <w:t>itp.</w:t>
      </w:r>
      <w:r w:rsidRPr="0023683D">
        <w:rPr>
          <w:rStyle w:val="Odwoanieprzypisudolnego"/>
        </w:rPr>
        <w:footnoteReference w:id="2"/>
      </w:r>
      <w:r w:rsidRPr="0023683D">
        <w:t>. Obszary funkcjonalne definiowane są zazwyczaj jako</w:t>
      </w:r>
      <w:bookmarkStart w:id="1" w:name="_Hlk168151502"/>
      <w:r w:rsidRPr="0023683D">
        <w:t>:</w:t>
      </w:r>
      <w:bookmarkEnd w:id="1"/>
    </w:p>
    <w:p w14:paraId="29137C99" w14:textId="77777777" w:rsidR="000752CB" w:rsidRPr="0023683D" w:rsidRDefault="000752CB" w:rsidP="000752CB">
      <w:pPr>
        <w:pStyle w:val="Akapitzlist"/>
        <w:numPr>
          <w:ilvl w:val="0"/>
          <w:numId w:val="25"/>
        </w:numPr>
        <w:spacing w:after="0" w:line="276" w:lineRule="auto"/>
        <w:jc w:val="both"/>
      </w:pPr>
      <w:r w:rsidRPr="0023683D">
        <w:t>terytoria skupione wokół ośrodków miejskich i koncentrujące powiązania systemowe;</w:t>
      </w:r>
    </w:p>
    <w:p w14:paraId="6B9FBEAA" w14:textId="77777777" w:rsidR="000752CB" w:rsidRPr="0023683D" w:rsidRDefault="000752CB" w:rsidP="000752CB">
      <w:pPr>
        <w:pStyle w:val="Akapitzlist"/>
        <w:numPr>
          <w:ilvl w:val="0"/>
          <w:numId w:val="25"/>
        </w:numPr>
        <w:spacing w:after="0" w:line="276" w:lineRule="auto"/>
        <w:jc w:val="both"/>
      </w:pPr>
      <w:r w:rsidRPr="0023683D">
        <w:t>terytoria wyznaczone według jednego lub większej liczby kryteriów definiujących (np. specyfiki geograficznej lub społeczno-gospodarczej), które decydują o spójności i charakterze interakcji wewnętrznych i zewnętrznych</w:t>
      </w:r>
      <w:r w:rsidRPr="0023683D">
        <w:rPr>
          <w:vertAlign w:val="superscript"/>
        </w:rPr>
        <w:footnoteReference w:id="3"/>
      </w:r>
      <w:r w:rsidRPr="0023683D">
        <w:t>.</w:t>
      </w:r>
    </w:p>
    <w:p w14:paraId="6A626BBA" w14:textId="031D93D2" w:rsidR="000752CB" w:rsidRPr="0023683D" w:rsidRDefault="000752CB" w:rsidP="000752CB">
      <w:pPr>
        <w:spacing w:after="0" w:line="276" w:lineRule="auto"/>
        <w:jc w:val="both"/>
      </w:pPr>
      <w:r>
        <w:t>Z</w:t>
      </w:r>
      <w:r w:rsidRPr="0023683D">
        <w:t>aproponowan</w:t>
      </w:r>
      <w:r>
        <w:t>e</w:t>
      </w:r>
      <w:r w:rsidRPr="0023683D">
        <w:t xml:space="preserve"> w </w:t>
      </w:r>
      <w:r w:rsidRPr="002C6505">
        <w:rPr>
          <w:i/>
          <w:iCs/>
        </w:rPr>
        <w:t>Koncepcji Przestrzennego Zagospodarowania Kraju 203</w:t>
      </w:r>
      <w:r w:rsidR="00162192">
        <w:rPr>
          <w:i/>
          <w:iCs/>
        </w:rPr>
        <w:t>0 (KPZK</w:t>
      </w:r>
      <w:r w:rsidR="008C7064">
        <w:rPr>
          <w:i/>
          <w:iCs/>
        </w:rPr>
        <w:t xml:space="preserve"> 2030</w:t>
      </w:r>
      <w:r w:rsidR="00162192">
        <w:rPr>
          <w:i/>
          <w:iCs/>
        </w:rPr>
        <w:t>)</w:t>
      </w:r>
      <w:r w:rsidRPr="0023683D">
        <w:rPr>
          <w:rStyle w:val="Odwoanieprzypisudolnego"/>
        </w:rPr>
        <w:footnoteReference w:id="4"/>
      </w:r>
      <w:r w:rsidRPr="0023683D">
        <w:t xml:space="preserve"> </w:t>
      </w:r>
      <w:r>
        <w:t>ujęcie</w:t>
      </w:r>
      <w:r w:rsidRPr="0023683D">
        <w:t xml:space="preserve"> obszaru funkcjonalnego obejmuje cztery obszary, których wyznaczenie wynika między innymi z obowiązujących ustaw. Są to</w:t>
      </w:r>
      <w:r>
        <w:t xml:space="preserve">: </w:t>
      </w:r>
      <w:r w:rsidRPr="0023683D">
        <w:t xml:space="preserve">obszar metropolitalny, tereny zamknięte, strefa ochronna terenu zamkniętego i obszar przestrzeni chronionej. Ponadto na potrzeby realizacji celów </w:t>
      </w:r>
      <w:r w:rsidR="00162192">
        <w:t>KPZK</w:t>
      </w:r>
      <w:r w:rsidRPr="0023683D">
        <w:t xml:space="preserve"> </w:t>
      </w:r>
      <w:r w:rsidR="008C7064">
        <w:t xml:space="preserve">2030 </w:t>
      </w:r>
      <w:r w:rsidRPr="0023683D">
        <w:t>wyróżniono cz</w:t>
      </w:r>
      <w:r>
        <w:t>tery</w:t>
      </w:r>
      <w:r w:rsidRPr="0023683D">
        <w:t xml:space="preserve"> podstawowe typ</w:t>
      </w:r>
      <w:r w:rsidR="00D56FBA">
        <w:t>y</w:t>
      </w:r>
      <w:r w:rsidRPr="0023683D">
        <w:t xml:space="preserve"> obszarów funkcjonalnych</w:t>
      </w:r>
      <w:r w:rsidRPr="0023683D">
        <w:rPr>
          <w:rStyle w:val="Odwoanieprzypisudolnego"/>
        </w:rPr>
        <w:footnoteReference w:id="5"/>
      </w:r>
      <w:r w:rsidRPr="0023683D">
        <w:t>:</w:t>
      </w:r>
    </w:p>
    <w:p w14:paraId="5CCBB508" w14:textId="77777777" w:rsidR="000752CB" w:rsidRPr="0023683D" w:rsidRDefault="000752CB" w:rsidP="000752CB">
      <w:pPr>
        <w:pStyle w:val="Akapitzlist"/>
        <w:numPr>
          <w:ilvl w:val="0"/>
          <w:numId w:val="26"/>
        </w:numPr>
        <w:spacing w:after="0" w:line="276" w:lineRule="auto"/>
        <w:jc w:val="both"/>
      </w:pPr>
      <w:r w:rsidRPr="0023683D">
        <w:lastRenderedPageBreak/>
        <w:t>określone w odniesieniu do całego systemu osadniczego, wyznaczone na podstawie stopnia urbanizacji, obejmujące obszary miejskie – rdzenie i ich strefy funkcjonalne – i obszary funkcjonalne wiejskie;</w:t>
      </w:r>
    </w:p>
    <w:p w14:paraId="0DECD46B" w14:textId="77777777" w:rsidR="000752CB" w:rsidRPr="0023683D" w:rsidRDefault="000752CB" w:rsidP="000752CB">
      <w:pPr>
        <w:pStyle w:val="Akapitzlist"/>
        <w:numPr>
          <w:ilvl w:val="0"/>
          <w:numId w:val="26"/>
        </w:numPr>
        <w:spacing w:after="0" w:line="276" w:lineRule="auto"/>
        <w:jc w:val="both"/>
      </w:pPr>
      <w:r w:rsidRPr="0023683D">
        <w:t>wyznaczone na podstawie typu potencjału rozwojowego ze względu na występowanie szczególnego zjawiska z zakresu gospodarki przestrzennej i warunków dla polityki rozwoju w skali makroregionalnej;</w:t>
      </w:r>
    </w:p>
    <w:p w14:paraId="519DBE8C" w14:textId="77777777" w:rsidR="000752CB" w:rsidRPr="0023683D" w:rsidRDefault="000752CB" w:rsidP="000752CB">
      <w:pPr>
        <w:pStyle w:val="Akapitzlist"/>
        <w:numPr>
          <w:ilvl w:val="0"/>
          <w:numId w:val="26"/>
        </w:numPr>
        <w:spacing w:after="0" w:line="276" w:lineRule="auto"/>
        <w:jc w:val="both"/>
      </w:pPr>
      <w:r w:rsidRPr="0023683D">
        <w:t>wyznaczone ze względu na możliwość wystąpienia konfliktów przestrzennych związanych ze sposobem wykorzystania ich potencjału przyrodniczego i kulturowego;</w:t>
      </w:r>
    </w:p>
    <w:p w14:paraId="2BA3EB1C" w14:textId="77777777" w:rsidR="000752CB" w:rsidRPr="0023683D" w:rsidRDefault="000752CB" w:rsidP="000752CB">
      <w:pPr>
        <w:pStyle w:val="Akapitzlist"/>
        <w:numPr>
          <w:ilvl w:val="0"/>
          <w:numId w:val="26"/>
        </w:numPr>
        <w:spacing w:after="0" w:line="276" w:lineRule="auto"/>
        <w:jc w:val="both"/>
      </w:pPr>
      <w:r w:rsidRPr="0023683D">
        <w:t xml:space="preserve">wymagające restrukturyzacji i rozwoju nowych funkcji przy użyciu instrumentów właściwych polityce regionalnej. Na tych obszarach dochodzi do kumulacji problemów o charakterze społeczno-gospodarczym, co staje się barierą dla osiągania spójności przestrzennej kraju. </w:t>
      </w:r>
    </w:p>
    <w:p w14:paraId="4A7F5A60" w14:textId="18244A6F" w:rsidR="000752CB" w:rsidRPr="0023683D" w:rsidRDefault="000752CB" w:rsidP="000752CB">
      <w:pPr>
        <w:spacing w:after="0" w:line="276" w:lineRule="auto"/>
        <w:jc w:val="both"/>
      </w:pPr>
      <w:r w:rsidRPr="0023683D">
        <w:t>W ramach ostatni</w:t>
      </w:r>
      <w:r>
        <w:t>ego</w:t>
      </w:r>
      <w:r w:rsidRPr="0023683D">
        <w:t xml:space="preserve"> </w:t>
      </w:r>
      <w:r>
        <w:t>typu</w:t>
      </w:r>
      <w:r w:rsidRPr="0023683D">
        <w:t xml:space="preserve"> zostały wyodrębnione obszary przygraniczne (ryc. 1)</w:t>
      </w:r>
      <w:r w:rsidR="009477DB">
        <w:t>.</w:t>
      </w:r>
    </w:p>
    <w:p w14:paraId="12BB007A" w14:textId="7CE53FFD" w:rsidR="000752CB" w:rsidRDefault="000752CB" w:rsidP="000752CB">
      <w:pPr>
        <w:spacing w:after="0" w:line="276" w:lineRule="auto"/>
        <w:jc w:val="both"/>
      </w:pPr>
    </w:p>
    <w:p w14:paraId="2B0DF581" w14:textId="524DDC01" w:rsidR="000752CB" w:rsidRDefault="000752CB" w:rsidP="000752CB">
      <w:pPr>
        <w:spacing w:after="0" w:line="276" w:lineRule="auto"/>
        <w:jc w:val="both"/>
        <w:rPr>
          <w:sz w:val="20"/>
          <w:szCs w:val="20"/>
        </w:rPr>
      </w:pPr>
      <w:r w:rsidRPr="0023683D">
        <w:rPr>
          <w:b/>
          <w:bCs/>
          <w:sz w:val="20"/>
          <w:szCs w:val="20"/>
        </w:rPr>
        <w:t>Ryc. 1.</w:t>
      </w:r>
      <w:r w:rsidRPr="0023683D">
        <w:rPr>
          <w:sz w:val="20"/>
          <w:szCs w:val="20"/>
        </w:rPr>
        <w:t xml:space="preserve"> Obszary funkcjonalne wymagające restrukturyzacji i rozwoju nowych funkcji przy</w:t>
      </w:r>
      <w:r>
        <w:rPr>
          <w:sz w:val="20"/>
          <w:szCs w:val="20"/>
        </w:rPr>
        <w:t xml:space="preserve"> </w:t>
      </w:r>
      <w:r w:rsidRPr="0023683D">
        <w:rPr>
          <w:sz w:val="20"/>
          <w:szCs w:val="20"/>
        </w:rPr>
        <w:t>wsparciu instrumentów właściwych polityce regionalnej</w:t>
      </w:r>
    </w:p>
    <w:p w14:paraId="544A6464" w14:textId="77777777" w:rsidR="00FF0992" w:rsidRPr="00FF0992" w:rsidRDefault="00FF0992" w:rsidP="000752CB">
      <w:pPr>
        <w:spacing w:after="0" w:line="276" w:lineRule="auto"/>
        <w:jc w:val="both"/>
        <w:rPr>
          <w:sz w:val="4"/>
          <w:szCs w:val="4"/>
        </w:rPr>
      </w:pPr>
    </w:p>
    <w:p w14:paraId="182454F0" w14:textId="578660BF" w:rsidR="00FF0992" w:rsidRDefault="00FF0992" w:rsidP="000752CB">
      <w:pPr>
        <w:spacing w:after="0" w:line="276" w:lineRule="auto"/>
        <w:jc w:val="both"/>
        <w:rPr>
          <w:sz w:val="20"/>
          <w:szCs w:val="20"/>
        </w:rPr>
      </w:pPr>
      <w:r>
        <w:rPr>
          <w:noProof/>
        </w:rPr>
        <w:drawing>
          <wp:inline distT="0" distB="0" distL="0" distR="0" wp14:anchorId="593A600B" wp14:editId="4452DBA6">
            <wp:extent cx="5760720" cy="2260600"/>
            <wp:effectExtent l="0" t="0" r="0" b="6350"/>
            <wp:docPr id="103543651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5436516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26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F32816" w14:textId="77777777" w:rsidR="00FF0992" w:rsidRPr="00FF0992" w:rsidRDefault="00FF0992" w:rsidP="000752CB">
      <w:pPr>
        <w:spacing w:after="0" w:line="240" w:lineRule="auto"/>
        <w:jc w:val="both"/>
        <w:rPr>
          <w:rFonts w:ascii="Calibri" w:eastAsia="Calibri" w:hAnsi="Calibri" w:cs="Times New Roman"/>
          <w:b/>
          <w:bCs/>
          <w:kern w:val="0"/>
          <w:sz w:val="4"/>
          <w:szCs w:val="4"/>
          <w14:ligatures w14:val="none"/>
        </w:rPr>
      </w:pPr>
      <w:bookmarkStart w:id="2" w:name="_Hlk168304173"/>
    </w:p>
    <w:p w14:paraId="39C74940" w14:textId="54194183" w:rsidR="000752CB" w:rsidRPr="0023683D" w:rsidRDefault="000752CB" w:rsidP="000752CB">
      <w:pPr>
        <w:spacing w:after="0" w:line="240" w:lineRule="auto"/>
        <w:jc w:val="both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  <w:r w:rsidRPr="0023683D">
        <w:rPr>
          <w:rFonts w:ascii="Calibri" w:eastAsia="Calibri" w:hAnsi="Calibri" w:cs="Times New Roman"/>
          <w:b/>
          <w:bCs/>
          <w:kern w:val="0"/>
          <w:sz w:val="20"/>
          <w:szCs w:val="20"/>
          <w14:ligatures w14:val="none"/>
        </w:rPr>
        <w:t>Źródło:</w:t>
      </w:r>
      <w:r w:rsidRPr="0023683D">
        <w:rPr>
          <w:rFonts w:ascii="Calibri" w:eastAsia="Calibri" w:hAnsi="Calibri" w:cs="Times New Roman"/>
          <w:kern w:val="0"/>
          <w:sz w:val="20"/>
          <w:szCs w:val="20"/>
          <w14:ligatures w14:val="none"/>
        </w:rPr>
        <w:t xml:space="preserve"> </w:t>
      </w:r>
      <w:r w:rsidRPr="0023683D">
        <w:rPr>
          <w:rFonts w:ascii="Calibri" w:eastAsia="Calibri" w:hAnsi="Calibri" w:cs="Times New Roman"/>
          <w:i/>
          <w:iCs/>
          <w:kern w:val="0"/>
          <w:sz w:val="20"/>
          <w:szCs w:val="20"/>
          <w14:ligatures w14:val="none"/>
        </w:rPr>
        <w:t>Koncepcja Przestrzennego Zagospodarowania Kraju 2030</w:t>
      </w:r>
      <w:r w:rsidRPr="0023683D">
        <w:rPr>
          <w:rFonts w:ascii="Calibri" w:eastAsia="Calibri" w:hAnsi="Calibri" w:cs="Times New Roman"/>
          <w:kern w:val="0"/>
          <w:sz w:val="20"/>
          <w:szCs w:val="20"/>
          <w14:ligatures w14:val="none"/>
        </w:rPr>
        <w:t xml:space="preserve">, Ministerstwo Rozwoju Regionalnego, Warszawa 2011, s. </w:t>
      </w:r>
      <w:r>
        <w:rPr>
          <w:rFonts w:ascii="Calibri" w:eastAsia="Calibri" w:hAnsi="Calibri" w:cs="Times New Roman"/>
          <w:kern w:val="0"/>
          <w:sz w:val="20"/>
          <w:szCs w:val="20"/>
          <w14:ligatures w14:val="none"/>
        </w:rPr>
        <w:t>204</w:t>
      </w:r>
      <w:r w:rsidRPr="0023683D">
        <w:rPr>
          <w:rFonts w:ascii="Calibri" w:eastAsia="Calibri" w:hAnsi="Calibri" w:cs="Times New Roman"/>
          <w:kern w:val="0"/>
          <w:sz w:val="20"/>
          <w:szCs w:val="20"/>
          <w14:ligatures w14:val="none"/>
        </w:rPr>
        <w:t>.</w:t>
      </w:r>
    </w:p>
    <w:bookmarkEnd w:id="2"/>
    <w:p w14:paraId="46F5CE00" w14:textId="77777777" w:rsidR="008C7064" w:rsidRPr="00FA1DFE" w:rsidRDefault="008C7064" w:rsidP="000752CB">
      <w:pPr>
        <w:spacing w:after="0" w:line="276" w:lineRule="auto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23A50B9A" w14:textId="0A0FAE42" w:rsidR="000752CB" w:rsidRPr="003A0599" w:rsidRDefault="000752CB" w:rsidP="000752CB">
      <w:pPr>
        <w:spacing w:after="0" w:line="276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FA1DFE">
        <w:rPr>
          <w:rFonts w:ascii="Calibri" w:eastAsia="Calibri" w:hAnsi="Calibri" w:cs="Times New Roman"/>
          <w:kern w:val="0"/>
          <w14:ligatures w14:val="none"/>
        </w:rPr>
        <w:t>J. Ładysz</w:t>
      </w:r>
      <w:r w:rsidRPr="00FA1DFE">
        <w:rPr>
          <w:rStyle w:val="Odwoanieprzypisudolnego"/>
          <w:rFonts w:ascii="Calibri" w:eastAsia="Calibri" w:hAnsi="Calibri" w:cs="Times New Roman"/>
          <w:kern w:val="0"/>
          <w14:ligatures w14:val="none"/>
        </w:rPr>
        <w:footnoteReference w:id="6"/>
      </w:r>
      <w:r w:rsidRPr="00FA1DFE">
        <w:rPr>
          <w:rFonts w:ascii="Calibri" w:eastAsia="Calibri" w:hAnsi="Calibri" w:cs="Times New Roman"/>
          <w:kern w:val="0"/>
          <w14:ligatures w14:val="none"/>
        </w:rPr>
        <w:t xml:space="preserve"> definiuje transgraniczny obszar funkcjonalny jako obszar transgraniczny składający się z sąsiadujących</w:t>
      </w:r>
      <w:r>
        <w:rPr>
          <w:rFonts w:ascii="Calibri" w:eastAsia="Calibri" w:hAnsi="Calibri" w:cs="Times New Roman"/>
          <w:kern w:val="0"/>
          <w14:ligatures w14:val="none"/>
        </w:rPr>
        <w:t xml:space="preserve"> ze sobą obszarów przygranicznych oddzielonych od siebie granicą państwową, na którym występuje względnie wyodrębniający się, intensywny i otwarty system transgranicznych powiązań społecznych, gospodarczych i/lub przyrodniczych, uwarunkowanych cechami środowiska geograficznego, przyrodniczego i antropogenicznego. Posiada on dwie wyróżniające go cechy – transgraniczne powiązania funkcjonalne na sąsiadujących ze sobą obszarach przygranicznych oddzielonych granicą państwową oraz koordynację kierunków zagospodarowania przestrzennego na tych obszarach w ramach strategii rozwoju TOF z elementami planowania przestrzennego. Z kolei według A</w:t>
      </w:r>
      <w:r w:rsidRPr="00527221">
        <w:rPr>
          <w:rFonts w:ascii="Calibri" w:eastAsia="Calibri" w:hAnsi="Calibri" w:cs="Times New Roman"/>
          <w:kern w:val="0"/>
          <w14:ligatures w14:val="none"/>
        </w:rPr>
        <w:t>. Jakubowski</w:t>
      </w:r>
      <w:r>
        <w:rPr>
          <w:rFonts w:ascii="Calibri" w:eastAsia="Calibri" w:hAnsi="Calibri" w:cs="Times New Roman"/>
          <w:kern w:val="0"/>
          <w14:ligatures w14:val="none"/>
        </w:rPr>
        <w:t>ego</w:t>
      </w:r>
      <w:r w:rsidRPr="00527221">
        <w:rPr>
          <w:rFonts w:ascii="Calibri" w:eastAsia="Calibri" w:hAnsi="Calibri" w:cs="Times New Roman"/>
          <w:kern w:val="0"/>
          <w14:ligatures w14:val="none"/>
        </w:rPr>
        <w:t xml:space="preserve">, K. </w:t>
      </w:r>
      <w:proofErr w:type="spellStart"/>
      <w:r w:rsidRPr="00527221">
        <w:rPr>
          <w:rFonts w:ascii="Calibri" w:eastAsia="Calibri" w:hAnsi="Calibri" w:cs="Times New Roman"/>
          <w:kern w:val="0"/>
          <w14:ligatures w14:val="none"/>
        </w:rPr>
        <w:t>Trykacz</w:t>
      </w:r>
      <w:proofErr w:type="spellEnd"/>
      <w:r w:rsidRPr="00527221">
        <w:rPr>
          <w:rFonts w:ascii="Calibri" w:eastAsia="Calibri" w:hAnsi="Calibri" w:cs="Times New Roman"/>
          <w:kern w:val="0"/>
          <w14:ligatures w14:val="none"/>
        </w:rPr>
        <w:t xml:space="preserve">, T. </w:t>
      </w:r>
      <w:proofErr w:type="spellStart"/>
      <w:r w:rsidRPr="00527221">
        <w:rPr>
          <w:rFonts w:ascii="Calibri" w:eastAsia="Calibri" w:hAnsi="Calibri" w:cs="Times New Roman"/>
          <w:kern w:val="0"/>
          <w14:ligatures w14:val="none"/>
        </w:rPr>
        <w:t>Studzieniecki</w:t>
      </w:r>
      <w:r>
        <w:rPr>
          <w:rFonts w:ascii="Calibri" w:eastAsia="Calibri" w:hAnsi="Calibri" w:cs="Times New Roman"/>
          <w:kern w:val="0"/>
          <w14:ligatures w14:val="none"/>
        </w:rPr>
        <w:t>ego</w:t>
      </w:r>
      <w:proofErr w:type="spellEnd"/>
      <w:r w:rsidRPr="00527221">
        <w:rPr>
          <w:rFonts w:ascii="Calibri" w:eastAsia="Calibri" w:hAnsi="Calibri" w:cs="Times New Roman"/>
          <w:kern w:val="0"/>
          <w14:ligatures w14:val="none"/>
        </w:rPr>
        <w:t>, J. Skibiński</w:t>
      </w:r>
      <w:r>
        <w:rPr>
          <w:rFonts w:ascii="Calibri" w:eastAsia="Calibri" w:hAnsi="Calibri" w:cs="Times New Roman"/>
          <w:kern w:val="0"/>
          <w14:ligatures w14:val="none"/>
        </w:rPr>
        <w:t>ego</w:t>
      </w:r>
      <w:r w:rsidRPr="003A0599">
        <w:rPr>
          <w:rFonts w:ascii="Calibri" w:eastAsia="Calibri" w:hAnsi="Calibri" w:cs="Times New Roman"/>
          <w:kern w:val="0"/>
          <w:vertAlign w:val="superscript"/>
          <w14:ligatures w14:val="none"/>
        </w:rPr>
        <w:footnoteReference w:id="7"/>
      </w:r>
      <w:r w:rsidRPr="001B3943">
        <w:rPr>
          <w:rFonts w:ascii="Calibri" w:eastAsia="Calibri" w:hAnsi="Calibri" w:cs="Times New Roman"/>
          <w:kern w:val="0"/>
          <w14:ligatures w14:val="none"/>
        </w:rPr>
        <w:t xml:space="preserve"> </w:t>
      </w:r>
      <w:r>
        <w:rPr>
          <w:rFonts w:ascii="Calibri" w:eastAsia="Calibri" w:hAnsi="Calibri" w:cs="Times New Roman"/>
          <w:kern w:val="0"/>
          <w14:ligatures w14:val="none"/>
        </w:rPr>
        <w:t xml:space="preserve"> transgraniczny obszar </w:t>
      </w:r>
      <w:r>
        <w:rPr>
          <w:rFonts w:ascii="Calibri" w:eastAsia="Calibri" w:hAnsi="Calibri" w:cs="Times New Roman"/>
          <w:kern w:val="0"/>
          <w14:ligatures w14:val="none"/>
        </w:rPr>
        <w:lastRenderedPageBreak/>
        <w:t xml:space="preserve">funkcjonalny jest </w:t>
      </w:r>
      <w:r w:rsidRPr="003A0599">
        <w:rPr>
          <w:rFonts w:ascii="Calibri" w:eastAsia="Calibri" w:hAnsi="Calibri" w:cs="Times New Roman"/>
          <w:kern w:val="0"/>
          <w14:ligatures w14:val="none"/>
        </w:rPr>
        <w:t>przestrzennie specyficzny</w:t>
      </w:r>
      <w:r>
        <w:rPr>
          <w:rFonts w:ascii="Calibri" w:eastAsia="Calibri" w:hAnsi="Calibri" w:cs="Times New Roman"/>
          <w:kern w:val="0"/>
          <w14:ligatures w14:val="none"/>
        </w:rPr>
        <w:t>m</w:t>
      </w:r>
      <w:r w:rsidRPr="003A0599">
        <w:rPr>
          <w:rFonts w:ascii="Calibri" w:eastAsia="Calibri" w:hAnsi="Calibri" w:cs="Times New Roman"/>
          <w:kern w:val="0"/>
          <w14:ligatures w14:val="none"/>
        </w:rPr>
        <w:t xml:space="preserve"> kompleks</w:t>
      </w:r>
      <w:r>
        <w:rPr>
          <w:rFonts w:ascii="Calibri" w:eastAsia="Calibri" w:hAnsi="Calibri" w:cs="Times New Roman"/>
          <w:kern w:val="0"/>
          <w14:ligatures w14:val="none"/>
        </w:rPr>
        <w:t>em</w:t>
      </w:r>
      <w:r w:rsidRPr="003A0599">
        <w:rPr>
          <w:rFonts w:ascii="Calibri" w:eastAsia="Calibri" w:hAnsi="Calibri" w:cs="Times New Roman"/>
          <w:kern w:val="0"/>
          <w14:ligatures w14:val="none"/>
        </w:rPr>
        <w:t xml:space="preserve"> terytorium nieokreślony</w:t>
      </w:r>
      <w:r>
        <w:rPr>
          <w:rFonts w:ascii="Calibri" w:eastAsia="Calibri" w:hAnsi="Calibri" w:cs="Times New Roman"/>
          <w:kern w:val="0"/>
          <w14:ligatures w14:val="none"/>
        </w:rPr>
        <w:t>m</w:t>
      </w:r>
      <w:r w:rsidRPr="003A0599">
        <w:rPr>
          <w:rFonts w:ascii="Calibri" w:eastAsia="Calibri" w:hAnsi="Calibri" w:cs="Times New Roman"/>
          <w:kern w:val="0"/>
          <w14:ligatures w14:val="none"/>
        </w:rPr>
        <w:t xml:space="preserve"> granicami administracyjnymi, zlokalizowany</w:t>
      </w:r>
      <w:r>
        <w:rPr>
          <w:rFonts w:ascii="Calibri" w:eastAsia="Calibri" w:hAnsi="Calibri" w:cs="Times New Roman"/>
          <w:kern w:val="0"/>
          <w14:ligatures w14:val="none"/>
        </w:rPr>
        <w:t>m</w:t>
      </w:r>
      <w:r w:rsidRPr="003A0599">
        <w:rPr>
          <w:rFonts w:ascii="Calibri" w:eastAsia="Calibri" w:hAnsi="Calibri" w:cs="Times New Roman"/>
          <w:kern w:val="0"/>
          <w14:ligatures w14:val="none"/>
        </w:rPr>
        <w:t xml:space="preserve"> po dwóch lub </w:t>
      </w:r>
      <w:r>
        <w:rPr>
          <w:rFonts w:ascii="Calibri" w:eastAsia="Calibri" w:hAnsi="Calibri" w:cs="Times New Roman"/>
          <w:kern w:val="0"/>
          <w14:ligatures w14:val="none"/>
        </w:rPr>
        <w:t>większej liczbie</w:t>
      </w:r>
      <w:r w:rsidRPr="003A0599">
        <w:rPr>
          <w:rFonts w:ascii="Calibri" w:eastAsia="Calibri" w:hAnsi="Calibri" w:cs="Times New Roman"/>
          <w:kern w:val="0"/>
          <w14:ligatures w14:val="none"/>
        </w:rPr>
        <w:t xml:space="preserve"> stron granicy państwowej</w:t>
      </w:r>
      <w:r>
        <w:rPr>
          <w:rFonts w:ascii="Calibri" w:eastAsia="Calibri" w:hAnsi="Calibri" w:cs="Times New Roman"/>
          <w:kern w:val="0"/>
          <w14:ligatures w14:val="none"/>
        </w:rPr>
        <w:t>,</w:t>
      </w:r>
      <w:r w:rsidRPr="003A0599">
        <w:rPr>
          <w:rFonts w:ascii="Calibri" w:eastAsia="Calibri" w:hAnsi="Calibri" w:cs="Times New Roman"/>
          <w:kern w:val="0"/>
          <w14:ligatures w14:val="none"/>
        </w:rPr>
        <w:t xml:space="preserve"> charakteryzujący</w:t>
      </w:r>
      <w:r>
        <w:rPr>
          <w:rFonts w:ascii="Calibri" w:eastAsia="Calibri" w:hAnsi="Calibri" w:cs="Times New Roman"/>
          <w:kern w:val="0"/>
          <w14:ligatures w14:val="none"/>
        </w:rPr>
        <w:t>m</w:t>
      </w:r>
      <w:r w:rsidRPr="003A0599">
        <w:rPr>
          <w:rFonts w:ascii="Calibri" w:eastAsia="Calibri" w:hAnsi="Calibri" w:cs="Times New Roman"/>
          <w:kern w:val="0"/>
          <w14:ligatures w14:val="none"/>
        </w:rPr>
        <w:t xml:space="preserve"> się:</w:t>
      </w:r>
    </w:p>
    <w:p w14:paraId="0DBAD8B5" w14:textId="25DCBDB7" w:rsidR="000752CB" w:rsidRPr="003A0599" w:rsidRDefault="000752CB" w:rsidP="000752CB">
      <w:pPr>
        <w:numPr>
          <w:ilvl w:val="0"/>
          <w:numId w:val="24"/>
        </w:numPr>
        <w:spacing w:after="0" w:line="276" w:lineRule="auto"/>
        <w:contextualSpacing/>
        <w:jc w:val="both"/>
        <w:rPr>
          <w:rFonts w:ascii="Calibri" w:eastAsia="Calibri" w:hAnsi="Calibri" w:cs="Times New Roman"/>
          <w:kern w:val="0"/>
          <w14:ligatures w14:val="none"/>
        </w:rPr>
      </w:pPr>
      <w:r w:rsidRPr="003A0599">
        <w:rPr>
          <w:rFonts w:ascii="Calibri" w:eastAsia="Calibri" w:hAnsi="Calibri" w:cs="Times New Roman"/>
          <w:kern w:val="0"/>
          <w14:ligatures w14:val="none"/>
        </w:rPr>
        <w:t xml:space="preserve">relacjami funkcjonalnymi wynikającymi ze wspólnych i/lub integrujących przestrzennie </w:t>
      </w:r>
      <w:r w:rsidRPr="003A0599">
        <w:rPr>
          <w:rFonts w:ascii="Calibri" w:eastAsia="Calibri" w:hAnsi="Calibri" w:cs="Times New Roman"/>
          <w:kern w:val="0"/>
          <w14:ligatures w14:val="none"/>
        </w:rPr>
        <w:br/>
        <w:t>i społeczno-gospodarczych cech;</w:t>
      </w:r>
    </w:p>
    <w:p w14:paraId="54184F5A" w14:textId="77777777" w:rsidR="000752CB" w:rsidRPr="003A0599" w:rsidRDefault="000752CB" w:rsidP="000752CB">
      <w:pPr>
        <w:numPr>
          <w:ilvl w:val="0"/>
          <w:numId w:val="24"/>
        </w:numPr>
        <w:spacing w:after="0" w:line="276" w:lineRule="auto"/>
        <w:ind w:left="714" w:hanging="357"/>
        <w:contextualSpacing/>
        <w:jc w:val="both"/>
        <w:rPr>
          <w:rFonts w:ascii="Calibri" w:eastAsia="Calibri" w:hAnsi="Calibri" w:cs="Times New Roman"/>
          <w:kern w:val="0"/>
          <w14:ligatures w14:val="none"/>
        </w:rPr>
      </w:pPr>
      <w:r w:rsidRPr="003A0599">
        <w:rPr>
          <w:rFonts w:ascii="Calibri" w:eastAsia="Calibri" w:hAnsi="Calibri" w:cs="Times New Roman"/>
          <w:kern w:val="0"/>
          <w14:ligatures w14:val="none"/>
        </w:rPr>
        <w:t>systemem powiązań kooperacyjnych różnych interesariuszy;</w:t>
      </w:r>
    </w:p>
    <w:p w14:paraId="1E8AEBE5" w14:textId="75CE2AD8" w:rsidR="006E502B" w:rsidRPr="006E502B" w:rsidRDefault="000752CB" w:rsidP="006E502B">
      <w:pPr>
        <w:numPr>
          <w:ilvl w:val="0"/>
          <w:numId w:val="24"/>
        </w:numPr>
        <w:spacing w:after="0" w:line="276" w:lineRule="auto"/>
        <w:contextualSpacing/>
        <w:jc w:val="both"/>
        <w:rPr>
          <w:rFonts w:ascii="Calibri" w:eastAsia="Calibri" w:hAnsi="Calibri" w:cs="Times New Roman"/>
          <w:kern w:val="0"/>
          <w14:ligatures w14:val="none"/>
        </w:rPr>
      </w:pPr>
      <w:r w:rsidRPr="003A0599">
        <w:rPr>
          <w:rFonts w:ascii="Calibri" w:eastAsia="Calibri" w:hAnsi="Calibri" w:cs="Times New Roman"/>
          <w:kern w:val="0"/>
          <w14:ligatures w14:val="none"/>
        </w:rPr>
        <w:t>istnieniem mechanizmów zarządzania wynikających ze wspólnego celu i rozwiązywania wspólnych problemów lub kapitalizacji lokalnego potencjału</w:t>
      </w:r>
      <w:r w:rsidRPr="00162192">
        <w:rPr>
          <w:rFonts w:ascii="Calibri" w:eastAsia="Calibri" w:hAnsi="Calibri" w:cs="Times New Roman"/>
          <w:kern w:val="0"/>
          <w14:ligatures w14:val="none"/>
        </w:rPr>
        <w:t>.</w:t>
      </w:r>
    </w:p>
    <w:p w14:paraId="4597ED2F" w14:textId="61F39626" w:rsidR="000752CB" w:rsidRPr="009555FF" w:rsidRDefault="00162192" w:rsidP="000752CB">
      <w:pPr>
        <w:spacing w:after="0" w:line="276" w:lineRule="auto"/>
        <w:contextualSpacing/>
        <w:jc w:val="both"/>
        <w:rPr>
          <w:rFonts w:ascii="Calibri" w:eastAsia="Calibri" w:hAnsi="Calibri" w:cs="Times New Roman"/>
          <w:kern w:val="0"/>
          <w14:ligatures w14:val="none"/>
        </w:rPr>
      </w:pPr>
      <w:r>
        <w:rPr>
          <w:rFonts w:ascii="Calibri" w:eastAsia="Times New Roman" w:hAnsi="Calibri" w:cs="Calibri"/>
          <w:bCs/>
          <w:kern w:val="0"/>
          <w:lang w:eastAsia="pl-PL"/>
          <w14:ligatures w14:val="none"/>
        </w:rPr>
        <w:t xml:space="preserve">Wspomniani </w:t>
      </w:r>
      <w:r w:rsidR="00166607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autorzy</w:t>
      </w:r>
      <w:r w:rsidR="000752CB" w:rsidRPr="00973898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 xml:space="preserve"> zaproponowali nowe podejście do </w:t>
      </w:r>
      <w:r w:rsidR="005F6261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 xml:space="preserve">identyfikacji </w:t>
      </w:r>
      <w:r w:rsidR="000752CB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t</w:t>
      </w:r>
      <w:r w:rsidR="000752CB" w:rsidRPr="00973898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 xml:space="preserve">ransgranicznych </w:t>
      </w:r>
      <w:r w:rsidR="000752CB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o</w:t>
      </w:r>
      <w:r w:rsidR="000752CB" w:rsidRPr="00973898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 xml:space="preserve">bszarów </w:t>
      </w:r>
      <w:r w:rsidR="000752CB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f</w:t>
      </w:r>
      <w:r w:rsidR="000752CB" w:rsidRPr="00973898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unkcjonalnych, uwzględniające szerszą niż powszechnie do tej pory stosowan</w:t>
      </w:r>
      <w:r w:rsidR="00166607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ą</w:t>
      </w:r>
      <w:r w:rsidR="000752CB" w:rsidRPr="00973898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 xml:space="preserve"> perspektywę</w:t>
      </w:r>
      <w:r w:rsidR="000752CB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, obejmującą cztery kryteria: b</w:t>
      </w:r>
      <w:r w:rsidR="000752CB" w:rsidRPr="003F7802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liskość granicy</w:t>
      </w:r>
      <w:r w:rsidR="000752CB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, p</w:t>
      </w:r>
      <w:r w:rsidR="000752CB" w:rsidRPr="003F7802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owiązania transgraniczne i/lub wspólne potencjały i wyzwania</w:t>
      </w:r>
      <w:r w:rsidR="000752CB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,</w:t>
      </w:r>
      <w:r w:rsidR="000752CB" w:rsidRPr="003F7802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 xml:space="preserve"> </w:t>
      </w:r>
      <w:r w:rsidR="000752CB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i</w:t>
      </w:r>
      <w:r w:rsidR="000752CB" w:rsidRPr="003F7802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ntensywność współpracy transgranicznej</w:t>
      </w:r>
      <w:r>
        <w:rPr>
          <w:rFonts w:ascii="Calibri" w:eastAsia="Times New Roman" w:hAnsi="Calibri" w:cs="Calibri"/>
          <w:bCs/>
          <w:kern w:val="0"/>
          <w:lang w:eastAsia="pl-PL"/>
          <w14:ligatures w14:val="none"/>
        </w:rPr>
        <w:t xml:space="preserve"> oraz </w:t>
      </w:r>
      <w:r w:rsidR="000752CB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formalne struktury zarządzania</w:t>
      </w:r>
      <w:r w:rsidRPr="00973898">
        <w:rPr>
          <w:rStyle w:val="Odwoanieprzypisudolnego"/>
          <w:rFonts w:ascii="Calibri" w:eastAsia="Times New Roman" w:hAnsi="Calibri" w:cs="Calibri"/>
          <w:bCs/>
          <w:kern w:val="0"/>
          <w:lang w:eastAsia="pl-PL"/>
          <w14:ligatures w14:val="none"/>
        </w:rPr>
        <w:footnoteReference w:id="8"/>
      </w:r>
      <w:r w:rsidR="000752CB" w:rsidRPr="00973898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.</w:t>
      </w:r>
      <w:r w:rsidR="000752CB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 xml:space="preserve"> Została on</w:t>
      </w:r>
      <w:r w:rsidR="00166607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a</w:t>
      </w:r>
      <w:r w:rsidR="000752CB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 xml:space="preserve"> szczegółowo omówiona w kolejnym punkcie opracowania. Rekomenduje się, </w:t>
      </w:r>
      <w:r w:rsidR="000752CB" w:rsidRPr="009555FF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 xml:space="preserve">aby w oparciu o </w:t>
      </w:r>
      <w:r w:rsidR="00166607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ww.</w:t>
      </w:r>
      <w:r w:rsidR="000752CB" w:rsidRPr="009555FF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 xml:space="preserve"> podejście dokonać rewizji transgranicznych obszarów funkcjonalnych </w:t>
      </w:r>
      <w:r w:rsidR="000752CB" w:rsidRPr="006E502B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wyznaczonych wstępnie w</w:t>
      </w:r>
      <w:r w:rsidR="000752CB" w:rsidRPr="009555FF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 xml:space="preserve"> Euroregionie Śląsk Cieszyński</w:t>
      </w:r>
      <w:r w:rsidR="000752CB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 xml:space="preserve"> </w:t>
      </w:r>
      <w:r w:rsidR="006E502B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 xml:space="preserve">(tab. 1) </w:t>
      </w:r>
      <w:r w:rsidR="000752CB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i w oparciu o nie planować ich dalszy rozwój</w:t>
      </w:r>
      <w:r w:rsidR="000752CB" w:rsidRPr="009555FF">
        <w:rPr>
          <w:rStyle w:val="Odwoanieprzypisudolnego"/>
          <w:rFonts w:ascii="Calibri" w:eastAsia="Times New Roman" w:hAnsi="Calibri" w:cs="Calibri"/>
          <w:bCs/>
          <w:kern w:val="0"/>
          <w:lang w:eastAsia="pl-PL"/>
          <w14:ligatures w14:val="none"/>
        </w:rPr>
        <w:footnoteReference w:id="9"/>
      </w:r>
      <w:r w:rsidR="000752CB" w:rsidRPr="009555FF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.</w:t>
      </w:r>
    </w:p>
    <w:p w14:paraId="707306E7" w14:textId="77777777" w:rsidR="000752CB" w:rsidRDefault="000752CB" w:rsidP="000752CB">
      <w:pPr>
        <w:spacing w:after="0" w:line="276" w:lineRule="auto"/>
        <w:jc w:val="both"/>
        <w:rPr>
          <w:b/>
          <w:bCs/>
        </w:rPr>
      </w:pPr>
    </w:p>
    <w:p w14:paraId="07DCBC2A" w14:textId="06236D0F" w:rsidR="000752CB" w:rsidRPr="006E502B" w:rsidRDefault="006E502B" w:rsidP="000752CB">
      <w:pPr>
        <w:spacing w:after="0" w:line="276" w:lineRule="auto"/>
        <w:jc w:val="both"/>
        <w:rPr>
          <w:sz w:val="20"/>
          <w:szCs w:val="20"/>
        </w:rPr>
      </w:pPr>
      <w:r w:rsidRPr="006E502B">
        <w:rPr>
          <w:b/>
          <w:bCs/>
          <w:sz w:val="20"/>
          <w:szCs w:val="20"/>
        </w:rPr>
        <w:t>Tab. 1.</w:t>
      </w:r>
      <w:r w:rsidRPr="006E502B">
        <w:rPr>
          <w:sz w:val="20"/>
          <w:szCs w:val="20"/>
        </w:rPr>
        <w:t xml:space="preserve"> Transgraniczne Obszary Funkcjonalne wyznaczone wstępnie w Euroregionie Śląsk Cieszyński</w:t>
      </w:r>
    </w:p>
    <w:p w14:paraId="150AF24D" w14:textId="77777777" w:rsidR="006E502B" w:rsidRPr="003B0C6F" w:rsidRDefault="006E502B" w:rsidP="000752CB">
      <w:pPr>
        <w:spacing w:after="0" w:line="276" w:lineRule="auto"/>
        <w:jc w:val="both"/>
        <w:rPr>
          <w:b/>
          <w:bCs/>
          <w:sz w:val="4"/>
          <w:szCs w:val="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6E502B" w14:paraId="59B2B716" w14:textId="77777777" w:rsidTr="00BE63B6">
        <w:tc>
          <w:tcPr>
            <w:tcW w:w="2689" w:type="dxa"/>
            <w:shd w:val="clear" w:color="auto" w:fill="D9D9D9" w:themeFill="background1" w:themeFillShade="D9"/>
            <w:vAlign w:val="center"/>
          </w:tcPr>
          <w:p w14:paraId="2AD8FCD0" w14:textId="2C53B4A6" w:rsidR="006E502B" w:rsidRPr="001423E4" w:rsidRDefault="006E502B" w:rsidP="003B0C6F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1423E4">
              <w:rPr>
                <w:b/>
                <w:bCs/>
                <w:sz w:val="18"/>
                <w:szCs w:val="18"/>
              </w:rPr>
              <w:t>Transgraniczny Obszar Funkcjonalny</w:t>
            </w:r>
          </w:p>
        </w:tc>
        <w:tc>
          <w:tcPr>
            <w:tcW w:w="6373" w:type="dxa"/>
            <w:shd w:val="clear" w:color="auto" w:fill="D9D9D9" w:themeFill="background1" w:themeFillShade="D9"/>
            <w:vAlign w:val="center"/>
          </w:tcPr>
          <w:p w14:paraId="616779A6" w14:textId="2D623386" w:rsidR="006E502B" w:rsidRPr="001423E4" w:rsidRDefault="006E502B" w:rsidP="003B0C6F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1423E4">
              <w:rPr>
                <w:b/>
                <w:bCs/>
                <w:sz w:val="18"/>
                <w:szCs w:val="18"/>
              </w:rPr>
              <w:t xml:space="preserve">Jednostki terytorialne wchodzące w skład </w:t>
            </w:r>
            <w:r w:rsidRPr="001423E4">
              <w:rPr>
                <w:b/>
                <w:bCs/>
                <w:sz w:val="18"/>
                <w:szCs w:val="18"/>
              </w:rPr>
              <w:br/>
              <w:t>Transgranicznego Obszaru Funkcjonalnego</w:t>
            </w:r>
          </w:p>
        </w:tc>
      </w:tr>
      <w:tr w:rsidR="006E502B" w14:paraId="2497C4D1" w14:textId="77777777" w:rsidTr="00BE63B6">
        <w:tc>
          <w:tcPr>
            <w:tcW w:w="2689" w:type="dxa"/>
            <w:vAlign w:val="center"/>
          </w:tcPr>
          <w:p w14:paraId="3826A268" w14:textId="4CE65132" w:rsidR="006E502B" w:rsidRPr="001423E4" w:rsidRDefault="006E502B" w:rsidP="003B0C6F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423E4">
              <w:rPr>
                <w:sz w:val="18"/>
                <w:szCs w:val="18"/>
              </w:rPr>
              <w:t>Transgraniczny Obszar Funkcjonalny nr 1</w:t>
            </w:r>
          </w:p>
        </w:tc>
        <w:tc>
          <w:tcPr>
            <w:tcW w:w="6373" w:type="dxa"/>
            <w:vAlign w:val="center"/>
          </w:tcPr>
          <w:p w14:paraId="3D313A56" w14:textId="52DE8CDE" w:rsidR="006E502B" w:rsidRPr="001423E4" w:rsidRDefault="006E502B" w:rsidP="003B0C6F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bookmarkStart w:id="3" w:name="_Hlk168917209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 xml:space="preserve">Godów, Hażlach, Jastrzębie-Zdrój, Zebrzydowice / </w:t>
            </w:r>
            <w:r w:rsidR="003B0C6F"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>(</w:t>
            </w:r>
            <w:proofErr w:type="spellStart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>Albrechtice</w:t>
            </w:r>
            <w:proofErr w:type="spellEnd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 xml:space="preserve">, </w:t>
            </w:r>
            <w:proofErr w:type="spellStart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>Bohumín</w:t>
            </w:r>
            <w:proofErr w:type="spellEnd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 xml:space="preserve">, </w:t>
            </w:r>
            <w:proofErr w:type="spellStart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>Chotěbuz</w:t>
            </w:r>
            <w:proofErr w:type="spellEnd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 xml:space="preserve">, </w:t>
            </w:r>
            <w:proofErr w:type="spellStart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>Dětmarovice</w:t>
            </w:r>
            <w:proofErr w:type="spellEnd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 xml:space="preserve">, </w:t>
            </w:r>
            <w:proofErr w:type="spellStart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>Dolní</w:t>
            </w:r>
            <w:proofErr w:type="spellEnd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  <w:proofErr w:type="spellStart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>Lutyně</w:t>
            </w:r>
            <w:proofErr w:type="spellEnd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 xml:space="preserve">, </w:t>
            </w:r>
            <w:proofErr w:type="spellStart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>Doubrava</w:t>
            </w:r>
            <w:proofErr w:type="spellEnd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 xml:space="preserve">, </w:t>
            </w:r>
            <w:proofErr w:type="spellStart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>Havířov</w:t>
            </w:r>
            <w:proofErr w:type="spellEnd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 xml:space="preserve">, </w:t>
            </w:r>
            <w:proofErr w:type="spellStart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>Horní</w:t>
            </w:r>
            <w:proofErr w:type="spellEnd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  <w:proofErr w:type="spellStart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>Bludovice</w:t>
            </w:r>
            <w:proofErr w:type="spellEnd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 xml:space="preserve">, </w:t>
            </w:r>
            <w:proofErr w:type="spellStart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>Horní</w:t>
            </w:r>
            <w:proofErr w:type="spellEnd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  <w:proofErr w:type="spellStart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>Suchá</w:t>
            </w:r>
            <w:proofErr w:type="spellEnd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 xml:space="preserve">, </w:t>
            </w:r>
            <w:proofErr w:type="spellStart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>Karviná</w:t>
            </w:r>
            <w:proofErr w:type="spellEnd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 xml:space="preserve">, </w:t>
            </w:r>
            <w:proofErr w:type="spellStart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>Orlová</w:t>
            </w:r>
            <w:proofErr w:type="spellEnd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 xml:space="preserve">,  Petrovice u </w:t>
            </w:r>
            <w:proofErr w:type="spellStart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>Karviné</w:t>
            </w:r>
            <w:proofErr w:type="spellEnd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 xml:space="preserve">, </w:t>
            </w:r>
            <w:proofErr w:type="spellStart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>Petřvald</w:t>
            </w:r>
            <w:proofErr w:type="spellEnd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 xml:space="preserve">, </w:t>
            </w:r>
            <w:proofErr w:type="spellStart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>Rychvald</w:t>
            </w:r>
            <w:proofErr w:type="spellEnd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 xml:space="preserve">, </w:t>
            </w:r>
            <w:proofErr w:type="spellStart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>Stonava</w:t>
            </w:r>
            <w:proofErr w:type="spellEnd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>,</w:t>
            </w:r>
            <w:r w:rsidR="003B0C6F" w:rsidRPr="001423E4">
              <w:rPr>
                <w:sz w:val="18"/>
                <w:szCs w:val="18"/>
              </w:rPr>
              <w:t xml:space="preserve"> </w:t>
            </w:r>
            <w:proofErr w:type="spellStart"/>
            <w:r w:rsidR="003B0C6F"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>Těrlicko</w:t>
            </w:r>
            <w:proofErr w:type="spellEnd"/>
            <w:r w:rsidR="003B0C6F"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>)</w:t>
            </w:r>
            <w:r w:rsidR="003B0C6F" w:rsidRPr="001423E4">
              <w:rPr>
                <w:rStyle w:val="Odwoanieprzypisudolnego"/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footnoteReference w:id="10"/>
            </w:r>
            <w:bookmarkEnd w:id="3"/>
          </w:p>
        </w:tc>
      </w:tr>
      <w:tr w:rsidR="006E502B" w14:paraId="0D64C33C" w14:textId="77777777" w:rsidTr="00BE63B6">
        <w:tc>
          <w:tcPr>
            <w:tcW w:w="2689" w:type="dxa"/>
            <w:vAlign w:val="center"/>
          </w:tcPr>
          <w:p w14:paraId="6D665C04" w14:textId="5B542BFE" w:rsidR="006E502B" w:rsidRPr="001423E4" w:rsidRDefault="006E502B" w:rsidP="003B0C6F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1423E4">
              <w:rPr>
                <w:sz w:val="18"/>
                <w:szCs w:val="18"/>
              </w:rPr>
              <w:t>Transgraniczny Obszar Funkcjonalny nr 2</w:t>
            </w:r>
          </w:p>
        </w:tc>
        <w:tc>
          <w:tcPr>
            <w:tcW w:w="6373" w:type="dxa"/>
            <w:vAlign w:val="center"/>
          </w:tcPr>
          <w:p w14:paraId="0AE4FA58" w14:textId="7A92A638" w:rsidR="006E502B" w:rsidRPr="001423E4" w:rsidRDefault="003B0C6F" w:rsidP="003B0C6F">
            <w:pPr>
              <w:widowControl w:val="0"/>
              <w:suppressAutoHyphens/>
              <w:autoSpaceDN w:val="0"/>
              <w:jc w:val="center"/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</w:pPr>
            <w:bookmarkStart w:id="4" w:name="_Hlk168917248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>Brenna, Goleszów, Skoczów, Ustroń / (</w:t>
            </w:r>
            <w:proofErr w:type="spellStart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>Bukovec</w:t>
            </w:r>
            <w:proofErr w:type="spellEnd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 xml:space="preserve">, </w:t>
            </w:r>
            <w:proofErr w:type="spellStart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>Bystřice</w:t>
            </w:r>
            <w:proofErr w:type="spellEnd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 xml:space="preserve">, </w:t>
            </w:r>
            <w:proofErr w:type="spellStart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>Český</w:t>
            </w:r>
            <w:proofErr w:type="spellEnd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  <w:proofErr w:type="spellStart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>Těšín</w:t>
            </w:r>
            <w:proofErr w:type="spellEnd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>,</w:t>
            </w:r>
            <w:r w:rsidRPr="001423E4">
              <w:rPr>
                <w:sz w:val="18"/>
                <w:szCs w:val="18"/>
              </w:rPr>
              <w:t xml:space="preserve"> </w:t>
            </w:r>
            <w:proofErr w:type="spellStart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>Dolní</w:t>
            </w:r>
            <w:proofErr w:type="spellEnd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  <w:proofErr w:type="spellStart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>Lomná</w:t>
            </w:r>
            <w:proofErr w:type="spellEnd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 xml:space="preserve">, </w:t>
            </w:r>
            <w:proofErr w:type="spellStart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>Horní</w:t>
            </w:r>
            <w:proofErr w:type="spellEnd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  <w:proofErr w:type="spellStart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>Tošanovice</w:t>
            </w:r>
            <w:proofErr w:type="spellEnd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 xml:space="preserve">, </w:t>
            </w:r>
            <w:proofErr w:type="spellStart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>Hrádek</w:t>
            </w:r>
            <w:proofErr w:type="spellEnd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 xml:space="preserve">, </w:t>
            </w:r>
            <w:proofErr w:type="spellStart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>Hrčava</w:t>
            </w:r>
            <w:proofErr w:type="spellEnd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 xml:space="preserve">, </w:t>
            </w:r>
            <w:proofErr w:type="spellStart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>Jablunkov</w:t>
            </w:r>
            <w:proofErr w:type="spellEnd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 xml:space="preserve">, </w:t>
            </w:r>
            <w:proofErr w:type="spellStart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>Komorní</w:t>
            </w:r>
            <w:proofErr w:type="spellEnd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  <w:proofErr w:type="spellStart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>Lhotka</w:t>
            </w:r>
            <w:proofErr w:type="spellEnd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 xml:space="preserve">, Mosty u </w:t>
            </w:r>
            <w:proofErr w:type="spellStart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>Jablunkova</w:t>
            </w:r>
            <w:proofErr w:type="spellEnd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 xml:space="preserve">, </w:t>
            </w:r>
            <w:proofErr w:type="spellStart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>Návsí</w:t>
            </w:r>
            <w:proofErr w:type="spellEnd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 xml:space="preserve">, </w:t>
            </w:r>
            <w:proofErr w:type="spellStart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>Nýdek</w:t>
            </w:r>
            <w:proofErr w:type="spellEnd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 xml:space="preserve">, </w:t>
            </w:r>
            <w:proofErr w:type="spellStart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>Písečná</w:t>
            </w:r>
            <w:proofErr w:type="spellEnd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 xml:space="preserve">, </w:t>
            </w:r>
            <w:proofErr w:type="spellStart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>Písek</w:t>
            </w:r>
            <w:proofErr w:type="spellEnd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 xml:space="preserve">, Ropice, </w:t>
            </w:r>
            <w:proofErr w:type="spellStart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>Řeka</w:t>
            </w:r>
            <w:proofErr w:type="spellEnd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 xml:space="preserve">, </w:t>
            </w:r>
            <w:proofErr w:type="spellStart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>Smilovice</w:t>
            </w:r>
            <w:proofErr w:type="spellEnd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 xml:space="preserve">, </w:t>
            </w:r>
            <w:proofErr w:type="spellStart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>Střítež</w:t>
            </w:r>
            <w:proofErr w:type="spellEnd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 xml:space="preserve">, </w:t>
            </w:r>
            <w:proofErr w:type="spellStart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>Třanovice</w:t>
            </w:r>
            <w:proofErr w:type="spellEnd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 xml:space="preserve">, </w:t>
            </w:r>
            <w:proofErr w:type="spellStart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>Třinec</w:t>
            </w:r>
            <w:proofErr w:type="spellEnd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 xml:space="preserve">, </w:t>
            </w:r>
            <w:proofErr w:type="spellStart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>Vendryně</w:t>
            </w:r>
            <w:proofErr w:type="spellEnd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 xml:space="preserve">, </w:t>
            </w:r>
            <w:proofErr w:type="spellStart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>Vělopolí</w:t>
            </w:r>
            <w:proofErr w:type="spellEnd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>)</w:t>
            </w:r>
            <w:r w:rsidRPr="001423E4">
              <w:rPr>
                <w:rStyle w:val="Odwoanieprzypisudolnego"/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footnoteReference w:id="11"/>
            </w:r>
            <w:bookmarkEnd w:id="4"/>
          </w:p>
        </w:tc>
      </w:tr>
      <w:tr w:rsidR="006E502B" w14:paraId="0AB57C37" w14:textId="77777777" w:rsidTr="00BE63B6">
        <w:tc>
          <w:tcPr>
            <w:tcW w:w="2689" w:type="dxa"/>
            <w:vAlign w:val="center"/>
          </w:tcPr>
          <w:p w14:paraId="6DA2904A" w14:textId="521388AD" w:rsidR="006E502B" w:rsidRPr="001423E4" w:rsidRDefault="006E502B" w:rsidP="003B0C6F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1423E4">
              <w:rPr>
                <w:sz w:val="18"/>
                <w:szCs w:val="18"/>
              </w:rPr>
              <w:t>Transgraniczny Obszar Funkcjonalny nr 3</w:t>
            </w:r>
          </w:p>
        </w:tc>
        <w:tc>
          <w:tcPr>
            <w:tcW w:w="6373" w:type="dxa"/>
            <w:vAlign w:val="center"/>
          </w:tcPr>
          <w:p w14:paraId="10864944" w14:textId="662B0B77" w:rsidR="006E502B" w:rsidRPr="001423E4" w:rsidRDefault="003B0C6F" w:rsidP="003B0C6F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bookmarkStart w:id="5" w:name="_Hlk168917269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>Istebna, Wisła / (</w:t>
            </w:r>
            <w:proofErr w:type="spellStart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>Bocanovice</w:t>
            </w:r>
            <w:proofErr w:type="spellEnd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 xml:space="preserve">, </w:t>
            </w:r>
            <w:proofErr w:type="spellStart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>Bukovec</w:t>
            </w:r>
            <w:proofErr w:type="spellEnd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 xml:space="preserve">, </w:t>
            </w:r>
            <w:proofErr w:type="spellStart"/>
            <w:r w:rsidR="001423E4"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>Bystřice</w:t>
            </w:r>
            <w:proofErr w:type="spellEnd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 xml:space="preserve">, </w:t>
            </w:r>
            <w:proofErr w:type="spellStart"/>
            <w:r w:rsidR="001423E4"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>Dolní</w:t>
            </w:r>
            <w:proofErr w:type="spellEnd"/>
            <w:r w:rsidR="001423E4"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  <w:proofErr w:type="spellStart"/>
            <w:r w:rsidR="001423E4"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>Lomná</w:t>
            </w:r>
            <w:proofErr w:type="spellEnd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 xml:space="preserve">, </w:t>
            </w:r>
            <w:proofErr w:type="spellStart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>Horní</w:t>
            </w:r>
            <w:proofErr w:type="spellEnd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  <w:proofErr w:type="spellStart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>Lomná</w:t>
            </w:r>
            <w:proofErr w:type="spellEnd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 xml:space="preserve">, </w:t>
            </w:r>
            <w:proofErr w:type="spellStart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>Hrádek</w:t>
            </w:r>
            <w:proofErr w:type="spellEnd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 xml:space="preserve">, </w:t>
            </w:r>
            <w:proofErr w:type="spellStart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>Hrčava</w:t>
            </w:r>
            <w:proofErr w:type="spellEnd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 xml:space="preserve">, </w:t>
            </w:r>
            <w:proofErr w:type="spellStart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>Jablunkov</w:t>
            </w:r>
            <w:proofErr w:type="spellEnd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 xml:space="preserve">, </w:t>
            </w:r>
            <w:proofErr w:type="spellStart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>Košařiska</w:t>
            </w:r>
            <w:proofErr w:type="spellEnd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 xml:space="preserve">, </w:t>
            </w:r>
            <w:proofErr w:type="spellStart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>Milíkov</w:t>
            </w:r>
            <w:proofErr w:type="spellEnd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 xml:space="preserve">, Mosty u </w:t>
            </w:r>
            <w:proofErr w:type="spellStart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>Jablunkova</w:t>
            </w:r>
            <w:proofErr w:type="spellEnd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 xml:space="preserve">, </w:t>
            </w:r>
            <w:proofErr w:type="spellStart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>Návsí</w:t>
            </w:r>
            <w:proofErr w:type="spellEnd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 xml:space="preserve">, </w:t>
            </w:r>
            <w:proofErr w:type="spellStart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>Nýdek</w:t>
            </w:r>
            <w:proofErr w:type="spellEnd"/>
            <w:r w:rsidR="00BE63B6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>,</w:t>
            </w:r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  <w:proofErr w:type="spellStart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>Písečná</w:t>
            </w:r>
            <w:proofErr w:type="spellEnd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 xml:space="preserve">, </w:t>
            </w:r>
            <w:proofErr w:type="spellStart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>Písek</w:t>
            </w:r>
            <w:proofErr w:type="spellEnd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 xml:space="preserve">, </w:t>
            </w:r>
            <w:proofErr w:type="spellStart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>Vendryně</w:t>
            </w:r>
            <w:proofErr w:type="spellEnd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>)</w:t>
            </w:r>
            <w:r w:rsidR="001423E4" w:rsidRPr="001423E4">
              <w:rPr>
                <w:rStyle w:val="Odwoanieprzypisudolnego"/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footnoteReference w:id="12"/>
            </w:r>
            <w:bookmarkEnd w:id="5"/>
          </w:p>
        </w:tc>
      </w:tr>
      <w:tr w:rsidR="006E502B" w14:paraId="6485CD13" w14:textId="77777777" w:rsidTr="00BE63B6">
        <w:tc>
          <w:tcPr>
            <w:tcW w:w="2689" w:type="dxa"/>
            <w:vAlign w:val="center"/>
          </w:tcPr>
          <w:p w14:paraId="6F6AFA88" w14:textId="30520913" w:rsidR="006E502B" w:rsidRPr="001423E4" w:rsidRDefault="006E502B" w:rsidP="003B0C6F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1423E4">
              <w:rPr>
                <w:sz w:val="18"/>
                <w:szCs w:val="18"/>
              </w:rPr>
              <w:t>Transgraniczny Obszar Funkcjonalny nr 4</w:t>
            </w:r>
          </w:p>
        </w:tc>
        <w:tc>
          <w:tcPr>
            <w:tcW w:w="6373" w:type="dxa"/>
            <w:vAlign w:val="center"/>
          </w:tcPr>
          <w:p w14:paraId="761A2837" w14:textId="7415D563" w:rsidR="006E502B" w:rsidRPr="001423E4" w:rsidRDefault="003B0C6F" w:rsidP="001423E4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bookmarkStart w:id="6" w:name="_Hlk168917292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 xml:space="preserve">Chybie, </w:t>
            </w:r>
            <w:r w:rsidR="001423E4"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 xml:space="preserve">Cieszyn, </w:t>
            </w:r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 xml:space="preserve">Dębowiec, Jasienica, Jaworze, Strumień / </w:t>
            </w:r>
            <w:proofErr w:type="spellStart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>Albrechtice</w:t>
            </w:r>
            <w:proofErr w:type="spellEnd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 xml:space="preserve">, </w:t>
            </w:r>
            <w:proofErr w:type="spellStart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>Český</w:t>
            </w:r>
            <w:proofErr w:type="spellEnd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  <w:proofErr w:type="spellStart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>Těšín</w:t>
            </w:r>
            <w:proofErr w:type="spellEnd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 xml:space="preserve">, </w:t>
            </w:r>
            <w:proofErr w:type="spellStart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>Orlová</w:t>
            </w:r>
            <w:proofErr w:type="spellEnd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 xml:space="preserve">, </w:t>
            </w:r>
            <w:proofErr w:type="spellStart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>Petřvald</w:t>
            </w:r>
            <w:proofErr w:type="spellEnd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 xml:space="preserve">, </w:t>
            </w:r>
            <w:proofErr w:type="spellStart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>Rychvald</w:t>
            </w:r>
            <w:proofErr w:type="spellEnd"/>
            <w:r w:rsidR="001423E4"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 xml:space="preserve">, </w:t>
            </w:r>
            <w:proofErr w:type="spellStart"/>
            <w:r w:rsidR="001423E4"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>Těrlicko</w:t>
            </w:r>
            <w:proofErr w:type="spellEnd"/>
            <w:r w:rsidR="001423E4"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 xml:space="preserve">, </w:t>
            </w:r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>(</w:t>
            </w:r>
            <w:proofErr w:type="spellStart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>Dolní</w:t>
            </w:r>
            <w:proofErr w:type="spellEnd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  <w:proofErr w:type="spellStart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>Tošanovice</w:t>
            </w:r>
            <w:proofErr w:type="spellEnd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 xml:space="preserve">, </w:t>
            </w:r>
            <w:proofErr w:type="spellStart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>Hnojník</w:t>
            </w:r>
            <w:proofErr w:type="spellEnd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 xml:space="preserve">, </w:t>
            </w:r>
            <w:proofErr w:type="spellStart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>Horní</w:t>
            </w:r>
            <w:proofErr w:type="spellEnd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  <w:proofErr w:type="spellStart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>Tošanovice</w:t>
            </w:r>
            <w:proofErr w:type="spellEnd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 xml:space="preserve">, </w:t>
            </w:r>
            <w:proofErr w:type="spellStart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>Komorní</w:t>
            </w:r>
            <w:proofErr w:type="spellEnd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  <w:proofErr w:type="spellStart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>Lhotka</w:t>
            </w:r>
            <w:proofErr w:type="spellEnd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 xml:space="preserve">, Ropice, </w:t>
            </w:r>
            <w:proofErr w:type="spellStart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>Řeka</w:t>
            </w:r>
            <w:proofErr w:type="spellEnd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 xml:space="preserve">, </w:t>
            </w:r>
            <w:proofErr w:type="spellStart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>Smilovice</w:t>
            </w:r>
            <w:proofErr w:type="spellEnd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 xml:space="preserve">, </w:t>
            </w:r>
            <w:proofErr w:type="spellStart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>Střítěž</w:t>
            </w:r>
            <w:proofErr w:type="spellEnd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 xml:space="preserve">, </w:t>
            </w:r>
            <w:proofErr w:type="spellStart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>Třanovice</w:t>
            </w:r>
            <w:proofErr w:type="spellEnd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 xml:space="preserve">, </w:t>
            </w:r>
            <w:proofErr w:type="spellStart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>Vělopolí</w:t>
            </w:r>
            <w:proofErr w:type="spellEnd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>)</w:t>
            </w:r>
            <w:r w:rsidR="001423E4" w:rsidRPr="001423E4">
              <w:rPr>
                <w:rStyle w:val="Odwoanieprzypisudolnego"/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footnoteReference w:id="13"/>
            </w:r>
            <w:bookmarkEnd w:id="6"/>
          </w:p>
        </w:tc>
      </w:tr>
      <w:tr w:rsidR="006E502B" w14:paraId="0429FDE7" w14:textId="77777777" w:rsidTr="00BE63B6">
        <w:tc>
          <w:tcPr>
            <w:tcW w:w="2689" w:type="dxa"/>
            <w:vAlign w:val="center"/>
          </w:tcPr>
          <w:p w14:paraId="267655FE" w14:textId="7EA93155" w:rsidR="006E502B" w:rsidRPr="001423E4" w:rsidRDefault="006E502B" w:rsidP="003B0C6F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1423E4">
              <w:rPr>
                <w:sz w:val="18"/>
                <w:szCs w:val="18"/>
              </w:rPr>
              <w:t>Transgraniczny Obszar Funkcjonalny nr 5</w:t>
            </w:r>
          </w:p>
        </w:tc>
        <w:tc>
          <w:tcPr>
            <w:tcW w:w="6373" w:type="dxa"/>
            <w:vAlign w:val="center"/>
          </w:tcPr>
          <w:p w14:paraId="24CDBF20" w14:textId="7F4D183F" w:rsidR="006E502B" w:rsidRPr="001423E4" w:rsidRDefault="001423E4" w:rsidP="003B0C6F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 xml:space="preserve">Cieszyn </w:t>
            </w:r>
            <w:r w:rsidR="003B0C6F"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 xml:space="preserve">/ </w:t>
            </w:r>
            <w:proofErr w:type="spellStart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>Český</w:t>
            </w:r>
            <w:proofErr w:type="spellEnd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  <w:proofErr w:type="spellStart"/>
            <w:r w:rsidRPr="001423E4">
              <w:rPr>
                <w:rFonts w:eastAsia="Times New Roman" w:cstheme="minorHAnsi"/>
                <w:kern w:val="0"/>
                <w:sz w:val="18"/>
                <w:szCs w:val="18"/>
                <w:lang w:eastAsia="pl-PL"/>
                <w14:ligatures w14:val="none"/>
              </w:rPr>
              <w:t>Těšín</w:t>
            </w:r>
            <w:proofErr w:type="spellEnd"/>
          </w:p>
        </w:tc>
      </w:tr>
    </w:tbl>
    <w:p w14:paraId="57420235" w14:textId="77777777" w:rsidR="001423E4" w:rsidRPr="001423E4" w:rsidRDefault="001423E4" w:rsidP="000752CB">
      <w:pPr>
        <w:spacing w:after="0" w:line="276" w:lineRule="auto"/>
        <w:jc w:val="both"/>
        <w:rPr>
          <w:b/>
          <w:bCs/>
          <w:sz w:val="4"/>
          <w:szCs w:val="4"/>
        </w:rPr>
      </w:pPr>
    </w:p>
    <w:p w14:paraId="2B34442C" w14:textId="5552A1AC" w:rsidR="006E502B" w:rsidRPr="001423E4" w:rsidRDefault="001423E4" w:rsidP="000752CB">
      <w:pPr>
        <w:spacing w:after="0" w:line="276" w:lineRule="auto"/>
        <w:jc w:val="both"/>
        <w:rPr>
          <w:sz w:val="20"/>
          <w:szCs w:val="20"/>
        </w:rPr>
      </w:pPr>
      <w:r w:rsidRPr="001423E4">
        <w:rPr>
          <w:b/>
          <w:bCs/>
          <w:sz w:val="20"/>
          <w:szCs w:val="20"/>
        </w:rPr>
        <w:t xml:space="preserve">Źródło: </w:t>
      </w:r>
      <w:r w:rsidRPr="001423E4">
        <w:rPr>
          <w:sz w:val="20"/>
          <w:szCs w:val="20"/>
        </w:rPr>
        <w:t>Opracowanie własne</w:t>
      </w:r>
      <w:r w:rsidR="008A5065">
        <w:rPr>
          <w:sz w:val="20"/>
          <w:szCs w:val="20"/>
        </w:rPr>
        <w:t>.</w:t>
      </w:r>
    </w:p>
    <w:p w14:paraId="05B87355" w14:textId="77777777" w:rsidR="001423E4" w:rsidRDefault="001423E4" w:rsidP="000752CB">
      <w:pPr>
        <w:spacing w:after="0" w:line="276" w:lineRule="auto"/>
        <w:contextualSpacing/>
        <w:jc w:val="both"/>
        <w:rPr>
          <w:b/>
          <w:bCs/>
        </w:rPr>
      </w:pPr>
    </w:p>
    <w:p w14:paraId="00068D1A" w14:textId="77777777" w:rsidR="006446A3" w:rsidRDefault="006446A3" w:rsidP="000752CB">
      <w:pPr>
        <w:spacing w:after="0" w:line="276" w:lineRule="auto"/>
        <w:contextualSpacing/>
        <w:jc w:val="both"/>
        <w:rPr>
          <w:b/>
          <w:bCs/>
        </w:rPr>
      </w:pPr>
    </w:p>
    <w:p w14:paraId="3A2B4EA1" w14:textId="4A5A1060" w:rsidR="000752CB" w:rsidRPr="003B0C6F" w:rsidRDefault="000752CB" w:rsidP="000752CB">
      <w:pPr>
        <w:spacing w:after="0" w:line="276" w:lineRule="auto"/>
        <w:contextualSpacing/>
        <w:jc w:val="both"/>
        <w:rPr>
          <w:rFonts w:ascii="Calibri" w:eastAsia="Calibri" w:hAnsi="Calibri" w:cs="Times New Roman"/>
          <w:kern w:val="0"/>
          <w14:ligatures w14:val="none"/>
        </w:rPr>
      </w:pPr>
      <w:r w:rsidRPr="009555FF">
        <w:rPr>
          <w:b/>
          <w:bCs/>
        </w:rPr>
        <w:lastRenderedPageBreak/>
        <w:t>Podstawowe zalecenia dotyczące tworzenia i rozwoju transgranicznych obszarów funkcjonalnych w Euroregionie Śląsk Cieszyński</w:t>
      </w:r>
    </w:p>
    <w:p w14:paraId="2A74593F" w14:textId="77777777" w:rsidR="000752CB" w:rsidRPr="009555FF" w:rsidRDefault="000752CB" w:rsidP="000752CB">
      <w:pPr>
        <w:spacing w:after="0" w:line="276" w:lineRule="auto"/>
      </w:pPr>
    </w:p>
    <w:p w14:paraId="4C9088CC" w14:textId="69F89776" w:rsidR="000752CB" w:rsidRPr="00C9155A" w:rsidRDefault="000752CB" w:rsidP="000752CB">
      <w:pPr>
        <w:spacing w:after="0" w:line="276" w:lineRule="auto"/>
        <w:jc w:val="both"/>
      </w:pPr>
      <w:r w:rsidRPr="009555FF">
        <w:t xml:space="preserve">Zgodnie z </w:t>
      </w:r>
      <w:r w:rsidRPr="009555FF">
        <w:rPr>
          <w:i/>
          <w:iCs/>
        </w:rPr>
        <w:t>Art. 174 i 175 Traktatu o funkcjonowaniu Unii Europejskiej</w:t>
      </w:r>
      <w:r w:rsidRPr="009555FF">
        <w:t xml:space="preserve"> wszystkie działania Wspólnoty powinny wspierać jej harmonijny rozwój i przyczyniać się do osiągania spójności gospodarczej, społecznej i terytorialnej. Dlatego nieodzowne jest łączenie polityk sektorowych, działań władz unijnych, krajowych, regionalnych, miejskich oraz innych decydentów, jak również różnych grup społecznych</w:t>
      </w:r>
      <w:r w:rsidRPr="009555FF">
        <w:rPr>
          <w:rStyle w:val="Odwoanieprzypisudolnego"/>
        </w:rPr>
        <w:footnoteReference w:id="14"/>
      </w:r>
      <w:r w:rsidRPr="009555FF">
        <w:t xml:space="preserve">. </w:t>
      </w:r>
      <w:r w:rsidRPr="00C9155A">
        <w:t xml:space="preserve">W </w:t>
      </w:r>
      <w:r w:rsidRPr="00C9155A">
        <w:rPr>
          <w:i/>
          <w:iCs/>
        </w:rPr>
        <w:t>Agendzie Terytorialnej 2030</w:t>
      </w:r>
      <w:r w:rsidRPr="00C9155A">
        <w:t xml:space="preserve"> podkreślono, że podejście </w:t>
      </w:r>
      <w:r w:rsidR="00C9155A" w:rsidRPr="00C9155A">
        <w:t xml:space="preserve">terytorialne </w:t>
      </w:r>
      <w:r w:rsidRPr="00C9155A">
        <w:t>do kształtowania polityki ukierunkowane na konkretny obszar przyczynia się do zapewnienia jego spójności terytorialnej. Opiera się ono na koordynacji horyzontalnej i wertykalnej, kształtowaniu polityki w oparciu o dowody oraz na zintegrowanym rozwoju terytorialnym. Obejmuje ponadto różne szczeble władzy (podejście zakładające wielopoziomowe sprawowanie rządów) przyczyniające się do zapewnienia pomocniczości. Gwarantuje także współpracę i koordynację z udziałem obywateli, społeczeństwa obywatelskiego, przedsiębiorstw, instytucji badawczych i naukowych oraz centrów wiedzy. Ostatecznie podejście to pozwala uwolnić wyjątkowy potencjał obszarów związany z kapitałem terytorialnym, wiedzą i aktywami ukierunkowanymi na konkretny obszar, przy jednoczesnym uznaniu potrzeby opracowania rozwiązań dostosowanych do specyfiki różnych rodzajów terytoriów</w:t>
      </w:r>
      <w:r w:rsidRPr="00C9155A">
        <w:rPr>
          <w:rStyle w:val="Odwoanieprzypisudolnego"/>
        </w:rPr>
        <w:footnoteReference w:id="15"/>
      </w:r>
      <w:r w:rsidRPr="00C9155A">
        <w:t>. Biorąc</w:t>
      </w:r>
      <w:r w:rsidRPr="009555FF">
        <w:t xml:space="preserve"> powyższe pod uwagę, podejście międzysektorowe uwzględniające poza zaangażowaniem podmiotów publicznych, prywatnych i pozarządowych również </w:t>
      </w:r>
      <w:r>
        <w:t>udział</w:t>
      </w:r>
      <w:r w:rsidRPr="009555FF">
        <w:t xml:space="preserve"> społeczeństwa obywatelskiego</w:t>
      </w:r>
      <w:r>
        <w:t>,</w:t>
      </w:r>
      <w:r w:rsidRPr="009555FF">
        <w:t xml:space="preserve"> powinno być jak najczęściej wykorzystywane na rzecz tworzenia i rozwoju transgranicznych obszarów funkcjonalnych w Euroregionie Śląsk Cieszyński.</w:t>
      </w:r>
    </w:p>
    <w:p w14:paraId="3B275E13" w14:textId="77777777" w:rsidR="00162192" w:rsidRDefault="00162192" w:rsidP="000752CB">
      <w:pPr>
        <w:spacing w:after="0" w:line="276" w:lineRule="auto"/>
        <w:jc w:val="both"/>
      </w:pPr>
    </w:p>
    <w:p w14:paraId="5FDCDBD0" w14:textId="2F82774C" w:rsidR="000752CB" w:rsidRPr="009F6EC4" w:rsidRDefault="000752CB" w:rsidP="000752CB">
      <w:pPr>
        <w:spacing w:after="0" w:line="276" w:lineRule="auto"/>
        <w:jc w:val="both"/>
        <w:rPr>
          <w:rFonts w:ascii="Calibri" w:eastAsia="Calibri" w:hAnsi="Calibri" w:cs="Times New Roman"/>
          <w:kern w:val="0"/>
          <w:lang w:val="cs-CZ"/>
          <w14:ligatures w14:val="none"/>
        </w:rPr>
      </w:pPr>
      <w:r w:rsidRPr="009F6EC4">
        <w:t xml:space="preserve">Niezwykle ważnym aspektem w kontekście </w:t>
      </w:r>
      <w:r>
        <w:t>transgranicznych obszarów funkcjonalnych</w:t>
      </w:r>
      <w:r w:rsidRPr="009F6EC4">
        <w:t xml:space="preserve"> jest wykorzystywanie dobrych praktyk opartych na wymianie informacji, danych i wiedzy, które stanowią</w:t>
      </w:r>
      <w:r w:rsidRPr="009F6EC4">
        <w:rPr>
          <w:rFonts w:ascii="Calibri" w:eastAsia="Calibri" w:hAnsi="Calibri" w:cs="Times New Roman"/>
          <w:kern w:val="0"/>
          <w:lang w:val="cs-CZ"/>
          <w14:ligatures w14:val="none"/>
        </w:rPr>
        <w:t xml:space="preserve"> istotne ogniwa współpracy transgraniczej oraz przyczyniają się do szybszego osiągania spójności gospodarczej, społecznej i terytorialnej. Dzięki temu tworzone są narzędzia służące transformacji obszarów oraz merytorycznemu i finansowemu wspieraniu różnorodnych rozwiązań, zdobywane są nowe doświadczenia pozwalające spojrzeć inaczej na dane zagadnienie, skuteczniej budowany jest potencjał i doskonalone kompetencje osób zaagażowanych w procesy transgraniczne. </w:t>
      </w:r>
    </w:p>
    <w:p w14:paraId="36E9B55F" w14:textId="77777777" w:rsidR="000752CB" w:rsidRPr="009F6EC4" w:rsidRDefault="000752CB" w:rsidP="000752CB">
      <w:pPr>
        <w:spacing w:after="0" w:line="276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9F6EC4">
        <w:rPr>
          <w:rFonts w:eastAsia="Calibri" w:cstheme="minorHAnsi"/>
          <w:kern w:val="0"/>
          <w:lang w:val="cs-CZ"/>
          <w14:ligatures w14:val="none"/>
        </w:rPr>
        <w:t xml:space="preserve">W Euroregionie Śląsk Cieszyński powyższe formy kooperacji są z powodzeniem </w:t>
      </w:r>
      <w:r>
        <w:rPr>
          <w:rFonts w:eastAsia="Calibri" w:cstheme="minorHAnsi"/>
          <w:kern w:val="0"/>
          <w:lang w:val="cs-CZ"/>
          <w14:ligatures w14:val="none"/>
        </w:rPr>
        <w:t xml:space="preserve">stosowane </w:t>
      </w:r>
      <w:r w:rsidRPr="009F6EC4">
        <w:rPr>
          <w:rFonts w:eastAsia="Calibri" w:cstheme="minorHAnsi"/>
          <w:kern w:val="0"/>
          <w:lang w:val="cs-CZ"/>
          <w14:ligatures w14:val="none"/>
        </w:rPr>
        <w:t>od wielu lat, będąc jednymi z priorytetowych wyznaczników prowadzenia działań transgranicznych i międzyregionalnych oraz stanowiąc jego wyróżniki na tle innych polsko-czeskich struktur współpracy</w:t>
      </w:r>
      <w:r w:rsidRPr="009F6EC4">
        <w:rPr>
          <w:rStyle w:val="Odwoanieprzypisudolnego"/>
          <w:rFonts w:eastAsia="Calibri" w:cstheme="minorHAnsi"/>
          <w:kern w:val="0"/>
          <w:lang w:val="cs-CZ"/>
          <w14:ligatures w14:val="none"/>
        </w:rPr>
        <w:footnoteReference w:id="16"/>
      </w:r>
      <w:r w:rsidRPr="009F6EC4">
        <w:rPr>
          <w:rFonts w:eastAsia="Calibri" w:cstheme="minorHAnsi"/>
          <w:kern w:val="0"/>
          <w:lang w:val="cs-CZ"/>
          <w14:ligatures w14:val="none"/>
        </w:rPr>
        <w:t xml:space="preserve">. Realizowane od 2004 roku aktywności z </w:t>
      </w:r>
      <w:r w:rsidRPr="003A43B2">
        <w:rPr>
          <w:rFonts w:eastAsia="Calibri" w:cstheme="minorHAnsi"/>
          <w:kern w:val="0"/>
          <w14:ligatures w14:val="none"/>
        </w:rPr>
        <w:t>organizacjami partnerskimi znajdującymi się w regionach granicznych Europy Północnej</w:t>
      </w:r>
      <w:r w:rsidRPr="009F6EC4">
        <w:rPr>
          <w:rFonts w:eastAsia="Calibri" w:cstheme="minorHAnsi"/>
          <w:kern w:val="0"/>
          <w14:ligatures w14:val="none"/>
        </w:rPr>
        <w:t xml:space="preserve">, </w:t>
      </w:r>
      <w:r w:rsidRPr="003A43B2">
        <w:rPr>
          <w:rFonts w:eastAsia="Calibri" w:cstheme="minorHAnsi"/>
          <w:kern w:val="0"/>
          <w14:ligatures w14:val="none"/>
        </w:rPr>
        <w:t>Południowej</w:t>
      </w:r>
      <w:r w:rsidRPr="009F6EC4">
        <w:rPr>
          <w:rFonts w:eastAsia="Calibri" w:cstheme="minorHAnsi"/>
          <w:kern w:val="0"/>
          <w14:ligatures w14:val="none"/>
        </w:rPr>
        <w:t xml:space="preserve"> i Zachodniej, a w zwłaszcza na pograniczu francusko-niemieckim, przyczyniły się do przeniesienia i zaadaptowania na pograniczu polsko-czeskim (w </w:t>
      </w:r>
      <w:r w:rsidRPr="009F6EC4">
        <w:rPr>
          <w:rFonts w:eastAsia="Calibri" w:cstheme="minorHAnsi"/>
          <w:kern w:val="0"/>
          <w14:ligatures w14:val="none"/>
        </w:rPr>
        <w:lastRenderedPageBreak/>
        <w:t>Euroregionie) rozwiązań z zakresu planowania przestrzennego („</w:t>
      </w:r>
      <w:r w:rsidRPr="009F6EC4">
        <w:rPr>
          <w:rFonts w:ascii="Calibri" w:eastAsia="Calibri" w:hAnsi="Calibri" w:cs="Times New Roman"/>
          <w:kern w:val="0"/>
          <w:lang w:val="cs-CZ"/>
          <w14:ligatures w14:val="none"/>
        </w:rPr>
        <w:t>Ciesz się Cieszynem – Ogród dwóch brzegów</w:t>
      </w:r>
      <w:r w:rsidRPr="009F6EC4">
        <w:rPr>
          <w:rFonts w:ascii="Calibri" w:eastAsia="Calibri" w:hAnsi="Calibri" w:cs="Calibri"/>
          <w:kern w:val="0"/>
          <w:lang w:val="cs-CZ"/>
          <w14:ligatures w14:val="none"/>
        </w:rPr>
        <w:t>”)</w:t>
      </w:r>
      <w:r>
        <w:rPr>
          <w:rStyle w:val="Odwoanieprzypisudolnego"/>
          <w:rFonts w:ascii="Calibri" w:eastAsia="Calibri" w:hAnsi="Calibri" w:cs="Calibri"/>
          <w:kern w:val="0"/>
          <w:lang w:val="cs-CZ"/>
          <w14:ligatures w14:val="none"/>
        </w:rPr>
        <w:footnoteReference w:id="17"/>
      </w:r>
      <w:r w:rsidRPr="009F6EC4">
        <w:rPr>
          <w:rFonts w:ascii="Calibri" w:eastAsia="Calibri" w:hAnsi="Calibri" w:cs="Calibri"/>
          <w:kern w:val="0"/>
          <w:lang w:val="cs-CZ"/>
          <w14:ligatures w14:val="none"/>
        </w:rPr>
        <w:t>, zarządzania kryzysowego (</w:t>
      </w:r>
      <w:r w:rsidRPr="009F6EC4">
        <w:rPr>
          <w:rFonts w:ascii="Calibri" w:eastAsia="Calibri" w:hAnsi="Calibri" w:cs="Calibri"/>
          <w:kern w:val="0"/>
          <w14:ligatures w14:val="none"/>
        </w:rPr>
        <w:t>„Model komunikacji w sytuacjach kryzysowych”)</w:t>
      </w:r>
      <w:r w:rsidRPr="009F6EC4">
        <w:rPr>
          <w:rStyle w:val="Odwoanieprzypisudolnego"/>
          <w:rFonts w:ascii="Calibri" w:eastAsia="Calibri" w:hAnsi="Calibri" w:cs="Calibri"/>
          <w:kern w:val="0"/>
          <w14:ligatures w14:val="none"/>
        </w:rPr>
        <w:footnoteReference w:id="18"/>
      </w:r>
      <w:r w:rsidRPr="009F6EC4">
        <w:rPr>
          <w:rFonts w:ascii="Calibri" w:eastAsia="Calibri" w:hAnsi="Calibri" w:cs="Calibri"/>
          <w:kern w:val="0"/>
          <w14:ligatures w14:val="none"/>
        </w:rPr>
        <w:t xml:space="preserve"> i szkolnictwa (</w:t>
      </w:r>
      <w:r w:rsidRPr="009F6EC4">
        <w:rPr>
          <w:rFonts w:ascii="Calibri" w:eastAsia="Calibri" w:hAnsi="Calibri" w:cs="Times New Roman"/>
          <w:kern w:val="0"/>
          <w14:ligatures w14:val="none"/>
        </w:rPr>
        <w:t>„</w:t>
      </w:r>
      <w:proofErr w:type="spellStart"/>
      <w:r w:rsidRPr="009F6EC4">
        <w:rPr>
          <w:rFonts w:ascii="Calibri" w:eastAsia="Calibri" w:hAnsi="Calibri" w:cs="Times New Roman"/>
          <w:kern w:val="0"/>
          <w14:ligatures w14:val="none"/>
        </w:rPr>
        <w:t>EuroInstytut</w:t>
      </w:r>
      <w:proofErr w:type="spellEnd"/>
      <w:r w:rsidRPr="009F6EC4">
        <w:rPr>
          <w:rFonts w:ascii="Calibri" w:eastAsia="Calibri" w:hAnsi="Calibri" w:cs="Times New Roman"/>
          <w:kern w:val="0"/>
          <w14:ligatures w14:val="none"/>
        </w:rPr>
        <w:t xml:space="preserve"> Polsko-Czesko-Słowacki”)</w:t>
      </w:r>
      <w:r w:rsidRPr="009F6EC4">
        <w:rPr>
          <w:rStyle w:val="Odwoanieprzypisudolnego"/>
          <w:rFonts w:ascii="Calibri" w:eastAsia="Calibri" w:hAnsi="Calibri" w:cs="Times New Roman"/>
          <w:kern w:val="0"/>
          <w14:ligatures w14:val="none"/>
        </w:rPr>
        <w:footnoteReference w:id="19"/>
      </w:r>
      <w:r w:rsidRPr="009F6EC4">
        <w:rPr>
          <w:rFonts w:ascii="Calibri" w:eastAsia="Calibri" w:hAnsi="Calibri" w:cs="Times New Roman"/>
          <w:kern w:val="0"/>
          <w14:ligatures w14:val="none"/>
        </w:rPr>
        <w:t xml:space="preserve">. Współpraca międzyregionalna ma ponadto swoje umocowanie we wdrażanych </w:t>
      </w:r>
      <w:r>
        <w:rPr>
          <w:rFonts w:ascii="Calibri" w:eastAsia="Calibri" w:hAnsi="Calibri" w:cs="Times New Roman"/>
          <w:kern w:val="0"/>
          <w14:ligatures w14:val="none"/>
        </w:rPr>
        <w:t xml:space="preserve">od wielu lat </w:t>
      </w:r>
      <w:r w:rsidRPr="009F6EC4">
        <w:rPr>
          <w:rFonts w:ascii="Calibri" w:eastAsia="Calibri" w:hAnsi="Calibri" w:cs="Times New Roman"/>
          <w:kern w:val="0"/>
          <w14:ligatures w14:val="none"/>
        </w:rPr>
        <w:t>programach – „Chcemy, abyście o Nas wiedzieli”</w:t>
      </w:r>
      <w:r w:rsidRPr="009F6EC4">
        <w:rPr>
          <w:rStyle w:val="Odwoanieprzypisudolnego"/>
          <w:rFonts w:ascii="Calibri" w:eastAsia="Calibri" w:hAnsi="Calibri" w:cs="Times New Roman"/>
          <w:kern w:val="0"/>
          <w14:ligatures w14:val="none"/>
        </w:rPr>
        <w:footnoteReference w:id="20"/>
      </w:r>
      <w:r w:rsidRPr="009F6EC4">
        <w:rPr>
          <w:rFonts w:ascii="Calibri" w:eastAsia="Calibri" w:hAnsi="Calibri" w:cs="Times New Roman"/>
          <w:kern w:val="0"/>
          <w14:ligatures w14:val="none"/>
        </w:rPr>
        <w:t>, „</w:t>
      </w:r>
      <w:proofErr w:type="spellStart"/>
      <w:r w:rsidRPr="009F6EC4">
        <w:rPr>
          <w:rFonts w:ascii="Calibri" w:eastAsia="Calibri" w:hAnsi="Calibri" w:cs="Times New Roman"/>
          <w:kern w:val="0"/>
          <w14:ligatures w14:val="none"/>
        </w:rPr>
        <w:t>EuroInstytut</w:t>
      </w:r>
      <w:proofErr w:type="spellEnd"/>
      <w:r w:rsidRPr="009F6EC4">
        <w:rPr>
          <w:rFonts w:ascii="Calibri" w:eastAsia="Calibri" w:hAnsi="Calibri" w:cs="Times New Roman"/>
          <w:kern w:val="0"/>
          <w14:ligatures w14:val="none"/>
        </w:rPr>
        <w:t xml:space="preserve"> Polsko-Czesko-Słowacki”</w:t>
      </w:r>
      <w:r w:rsidRPr="009F6EC4">
        <w:rPr>
          <w:rStyle w:val="Odwoanieprzypisudolnego"/>
          <w:rFonts w:ascii="Calibri" w:eastAsia="Calibri" w:hAnsi="Calibri" w:cs="Times New Roman"/>
          <w:kern w:val="0"/>
          <w14:ligatures w14:val="none"/>
        </w:rPr>
        <w:footnoteReference w:id="21"/>
      </w:r>
      <w:r w:rsidRPr="009F6EC4">
        <w:rPr>
          <w:rFonts w:ascii="Calibri" w:eastAsia="Calibri" w:hAnsi="Calibri" w:cs="Times New Roman"/>
          <w:kern w:val="0"/>
          <w14:ligatures w14:val="none"/>
        </w:rPr>
        <w:t xml:space="preserve"> oraz </w:t>
      </w:r>
      <w:bookmarkStart w:id="7" w:name="_Hlk167870423"/>
      <w:r w:rsidRPr="009F6EC4">
        <w:rPr>
          <w:rFonts w:ascii="Calibri" w:eastAsia="Calibri" w:hAnsi="Calibri" w:cs="Times New Roman"/>
          <w:kern w:val="0"/>
          <w14:ligatures w14:val="none"/>
        </w:rPr>
        <w:t>„MODEL”</w:t>
      </w:r>
      <w:bookmarkEnd w:id="7"/>
      <w:r w:rsidRPr="009F6EC4">
        <w:rPr>
          <w:rStyle w:val="Odwoanieprzypisudolnego"/>
          <w:rFonts w:ascii="Calibri" w:eastAsia="Calibri" w:hAnsi="Calibri" w:cs="Times New Roman"/>
          <w:kern w:val="0"/>
          <w14:ligatures w14:val="none"/>
        </w:rPr>
        <w:footnoteReference w:id="22"/>
      </w:r>
      <w:r w:rsidRPr="009F6EC4">
        <w:rPr>
          <w:rFonts w:ascii="Calibri" w:eastAsia="Calibri" w:hAnsi="Calibri" w:cs="Times New Roman"/>
          <w:kern w:val="0"/>
          <w14:ligatures w14:val="none"/>
        </w:rPr>
        <w:t xml:space="preserve">, które zostały wpisane do </w:t>
      </w:r>
      <w:r w:rsidRPr="0094328E">
        <w:rPr>
          <w:rFonts w:ascii="Calibri" w:eastAsia="Calibri" w:hAnsi="Calibri" w:cs="Times New Roman"/>
          <w:i/>
          <w:iCs/>
          <w:kern w:val="0"/>
          <w14:ligatures w14:val="none"/>
        </w:rPr>
        <w:t>Strategii rozwoju Euroregionu Śląsk Cieszyński na lata</w:t>
      </w:r>
      <w:r>
        <w:rPr>
          <w:rFonts w:ascii="Calibri" w:eastAsia="Calibri" w:hAnsi="Calibri" w:cs="Times New Roman"/>
          <w:i/>
          <w:iCs/>
          <w:kern w:val="0"/>
          <w14:ligatures w14:val="none"/>
        </w:rPr>
        <w:t xml:space="preserve"> </w:t>
      </w:r>
      <w:r w:rsidRPr="0094328E">
        <w:rPr>
          <w:rFonts w:ascii="Calibri" w:eastAsia="Calibri" w:hAnsi="Calibri" w:cs="Times New Roman"/>
          <w:i/>
          <w:iCs/>
          <w:kern w:val="0"/>
          <w14:ligatures w14:val="none"/>
        </w:rPr>
        <w:t>2021-2027</w:t>
      </w:r>
      <w:r w:rsidRPr="009F6EC4">
        <w:rPr>
          <w:rFonts w:ascii="Calibri" w:eastAsia="Calibri" w:hAnsi="Calibri" w:cs="Times New Roman"/>
          <w:kern w:val="0"/>
          <w14:ligatures w14:val="none"/>
        </w:rPr>
        <w:t xml:space="preserve">. W procesie tworzenia transgranicznych </w:t>
      </w:r>
      <w:r>
        <w:rPr>
          <w:rFonts w:ascii="Calibri" w:eastAsia="Calibri" w:hAnsi="Calibri" w:cs="Times New Roman"/>
          <w:kern w:val="0"/>
          <w14:ligatures w14:val="none"/>
        </w:rPr>
        <w:t>obszarów funkcjonalnych</w:t>
      </w:r>
      <w:r w:rsidRPr="009F6EC4">
        <w:rPr>
          <w:rFonts w:ascii="Calibri" w:eastAsia="Calibri" w:hAnsi="Calibri" w:cs="Times New Roman"/>
          <w:kern w:val="0"/>
          <w14:ligatures w14:val="none"/>
        </w:rPr>
        <w:t xml:space="preserve"> w Euroregionie należy zatem wykorzystywać doświadczenia tych regionów, które uznawane są za modelowe, w których współpraca transgraniczna posiada najdłuższą historię, i z którym utrzymywane są wieloletnie relacje przynoszące wymierne korzyści. </w:t>
      </w:r>
      <w:r>
        <w:rPr>
          <w:rFonts w:ascii="Calibri" w:eastAsia="Calibri" w:hAnsi="Calibri" w:cs="Times New Roman"/>
          <w:kern w:val="0"/>
          <w14:ligatures w14:val="none"/>
        </w:rPr>
        <w:t>Zalicza</w:t>
      </w:r>
      <w:r w:rsidRPr="009F6EC4">
        <w:rPr>
          <w:rFonts w:ascii="Calibri" w:eastAsia="Calibri" w:hAnsi="Calibri" w:cs="Times New Roman"/>
          <w:kern w:val="0"/>
          <w14:ligatures w14:val="none"/>
        </w:rPr>
        <w:t xml:space="preserve"> się </w:t>
      </w:r>
      <w:r>
        <w:rPr>
          <w:rFonts w:ascii="Calibri" w:eastAsia="Calibri" w:hAnsi="Calibri" w:cs="Times New Roman"/>
          <w:kern w:val="0"/>
          <w14:ligatures w14:val="none"/>
        </w:rPr>
        <w:t>do nich</w:t>
      </w:r>
      <w:r w:rsidRPr="009F6EC4">
        <w:rPr>
          <w:rFonts w:ascii="Calibri" w:eastAsia="Calibri" w:hAnsi="Calibri" w:cs="Times New Roman"/>
          <w:kern w:val="0"/>
          <w14:ligatures w14:val="none"/>
        </w:rPr>
        <w:t xml:space="preserve"> przede wszystkim</w:t>
      </w:r>
      <w:r>
        <w:rPr>
          <w:rFonts w:ascii="Calibri" w:eastAsia="Calibri" w:hAnsi="Calibri" w:cs="Times New Roman"/>
          <w:kern w:val="0"/>
          <w14:ligatures w14:val="none"/>
        </w:rPr>
        <w:t xml:space="preserve"> regiony</w:t>
      </w:r>
      <w:r w:rsidRPr="009F6EC4">
        <w:rPr>
          <w:rFonts w:ascii="Calibri" w:eastAsia="Calibri" w:hAnsi="Calibri" w:cs="Times New Roman"/>
          <w:kern w:val="0"/>
          <w14:ligatures w14:val="none"/>
        </w:rPr>
        <w:t xml:space="preserve"> pogranicz</w:t>
      </w:r>
      <w:r>
        <w:rPr>
          <w:rFonts w:ascii="Calibri" w:eastAsia="Calibri" w:hAnsi="Calibri" w:cs="Times New Roman"/>
          <w:kern w:val="0"/>
          <w14:ligatures w14:val="none"/>
        </w:rPr>
        <w:t>a</w:t>
      </w:r>
      <w:r w:rsidRPr="009F6EC4">
        <w:rPr>
          <w:rFonts w:ascii="Calibri" w:eastAsia="Calibri" w:hAnsi="Calibri" w:cs="Times New Roman"/>
          <w:kern w:val="0"/>
          <w14:ligatures w14:val="none"/>
        </w:rPr>
        <w:t xml:space="preserve"> francusko-niemieckie</w:t>
      </w:r>
      <w:r>
        <w:rPr>
          <w:rFonts w:ascii="Calibri" w:eastAsia="Calibri" w:hAnsi="Calibri" w:cs="Times New Roman"/>
          <w:kern w:val="0"/>
          <w14:ligatures w14:val="none"/>
        </w:rPr>
        <w:t>go</w:t>
      </w:r>
      <w:r w:rsidRPr="009F6EC4">
        <w:rPr>
          <w:rFonts w:ascii="Calibri" w:eastAsia="Calibri" w:hAnsi="Calibri" w:cs="Times New Roman"/>
          <w:kern w:val="0"/>
          <w14:ligatures w14:val="none"/>
        </w:rPr>
        <w:t xml:space="preserve"> i </w:t>
      </w:r>
      <w:r>
        <w:rPr>
          <w:rFonts w:ascii="Calibri" w:eastAsia="Calibri" w:hAnsi="Calibri" w:cs="Times New Roman"/>
          <w:kern w:val="0"/>
          <w14:ligatures w14:val="none"/>
        </w:rPr>
        <w:t>one</w:t>
      </w:r>
      <w:r w:rsidRPr="009F6EC4">
        <w:rPr>
          <w:rFonts w:ascii="Calibri" w:eastAsia="Calibri" w:hAnsi="Calibri" w:cs="Times New Roman"/>
          <w:kern w:val="0"/>
          <w14:ligatures w14:val="none"/>
        </w:rPr>
        <w:t xml:space="preserve"> powinn</w:t>
      </w:r>
      <w:r>
        <w:rPr>
          <w:rFonts w:ascii="Calibri" w:eastAsia="Calibri" w:hAnsi="Calibri" w:cs="Times New Roman"/>
          <w:kern w:val="0"/>
          <w14:ligatures w14:val="none"/>
        </w:rPr>
        <w:t>y być</w:t>
      </w:r>
      <w:r w:rsidRPr="009F6EC4">
        <w:rPr>
          <w:rFonts w:ascii="Calibri" w:eastAsia="Calibri" w:hAnsi="Calibri" w:cs="Times New Roman"/>
          <w:kern w:val="0"/>
          <w14:ligatures w14:val="none"/>
        </w:rPr>
        <w:t xml:space="preserve"> traktowa</w:t>
      </w:r>
      <w:r>
        <w:rPr>
          <w:rFonts w:ascii="Calibri" w:eastAsia="Calibri" w:hAnsi="Calibri" w:cs="Times New Roman"/>
          <w:kern w:val="0"/>
          <w14:ligatures w14:val="none"/>
        </w:rPr>
        <w:t xml:space="preserve">ne </w:t>
      </w:r>
      <w:r w:rsidRPr="009F6EC4">
        <w:rPr>
          <w:rFonts w:ascii="Calibri" w:eastAsia="Calibri" w:hAnsi="Calibri" w:cs="Times New Roman"/>
          <w:kern w:val="0"/>
          <w14:ligatures w14:val="none"/>
        </w:rPr>
        <w:t>priorytetowo. Nie wyklucza to jednak transferu dobrych praktyk z innych</w:t>
      </w:r>
      <w:r>
        <w:rPr>
          <w:rFonts w:ascii="Calibri" w:eastAsia="Calibri" w:hAnsi="Calibri" w:cs="Times New Roman"/>
          <w:kern w:val="0"/>
          <w14:ligatures w14:val="none"/>
        </w:rPr>
        <w:t xml:space="preserve"> miejsc w Europie</w:t>
      </w:r>
      <w:r w:rsidRPr="009F6EC4">
        <w:rPr>
          <w:rFonts w:ascii="Calibri" w:eastAsia="Calibri" w:hAnsi="Calibri" w:cs="Times New Roman"/>
          <w:kern w:val="0"/>
          <w14:ligatures w14:val="none"/>
        </w:rPr>
        <w:t xml:space="preserve">. </w:t>
      </w:r>
    </w:p>
    <w:p w14:paraId="3EDFCC30" w14:textId="77777777" w:rsidR="000752CB" w:rsidRDefault="000752CB" w:rsidP="000752CB">
      <w:pPr>
        <w:spacing w:after="0" w:line="240" w:lineRule="auto"/>
        <w:jc w:val="both"/>
        <w:rPr>
          <w:sz w:val="20"/>
          <w:szCs w:val="20"/>
        </w:rPr>
      </w:pPr>
    </w:p>
    <w:p w14:paraId="2AA91CA3" w14:textId="2F79836F" w:rsidR="000752CB" w:rsidRPr="004F0B3D" w:rsidRDefault="000752CB" w:rsidP="000752CB">
      <w:pPr>
        <w:spacing w:after="0" w:line="276" w:lineRule="auto"/>
        <w:jc w:val="both"/>
      </w:pPr>
      <w:r w:rsidRPr="004F0B3D">
        <w:t>Fundamentaln</w:t>
      </w:r>
      <w:r w:rsidR="0027502B">
        <w:t>ą</w:t>
      </w:r>
      <w:r w:rsidRPr="004F0B3D">
        <w:t xml:space="preserve"> </w:t>
      </w:r>
      <w:r w:rsidR="0027502B">
        <w:t>rolę</w:t>
      </w:r>
      <w:r w:rsidRPr="004F0B3D">
        <w:t xml:space="preserve"> w tworzeniu i rozwoju transgranicznych obszarów funkcjonalnych w Euroregionie Śląsk Cieszyński powinno odgrywać podejście uwzględniające charakter powiązań transgranicznych</w:t>
      </w:r>
      <w:r w:rsidR="00C752BA">
        <w:t>, oparte</w:t>
      </w:r>
      <w:r w:rsidRPr="004F0B3D">
        <w:t xml:space="preserve"> na </w:t>
      </w:r>
      <w:r>
        <w:t>czteropoziomowych ramach</w:t>
      </w:r>
      <w:r w:rsidRPr="004F0B3D">
        <w:t xml:space="preserve"> identyfikacji TOF</w:t>
      </w:r>
      <w:r>
        <w:t xml:space="preserve"> obejmujących poniższe kryteria (ryc. 2)</w:t>
      </w:r>
      <w:r w:rsidRPr="004F0B3D">
        <w:rPr>
          <w:rStyle w:val="Odwoanieprzypisudolnego"/>
        </w:rPr>
        <w:footnoteReference w:id="23"/>
      </w:r>
      <w:r w:rsidRPr="004F0B3D">
        <w:t>:</w:t>
      </w:r>
    </w:p>
    <w:p w14:paraId="34BC72D5" w14:textId="232087C5" w:rsidR="000752CB" w:rsidRPr="004F0B3D" w:rsidRDefault="000752CB" w:rsidP="000752CB">
      <w:pPr>
        <w:pStyle w:val="Akapitzlist"/>
        <w:numPr>
          <w:ilvl w:val="0"/>
          <w:numId w:val="27"/>
        </w:numPr>
        <w:spacing w:after="0" w:line="276" w:lineRule="auto"/>
        <w:jc w:val="both"/>
      </w:pPr>
      <w:r w:rsidRPr="004F0B3D">
        <w:t>Bliskość granicy – warunek niezbędny (granicę postrzega się jako oś interakcji transgranicznych i traktuje się jako zasób):</w:t>
      </w:r>
    </w:p>
    <w:p w14:paraId="3C8E1225" w14:textId="7D7B31FE" w:rsidR="000752CB" w:rsidRPr="004F0B3D" w:rsidRDefault="000752CB" w:rsidP="000752CB">
      <w:pPr>
        <w:pStyle w:val="Akapitzlist"/>
        <w:numPr>
          <w:ilvl w:val="0"/>
          <w:numId w:val="28"/>
        </w:numPr>
        <w:spacing w:after="0" w:line="276" w:lineRule="auto"/>
        <w:jc w:val="both"/>
      </w:pPr>
      <w:r w:rsidRPr="004F0B3D">
        <w:t xml:space="preserve">kryterium statystyczne – obejmuje transgraniczne przekroje statystyczne w oparciu o NUTS 3, co pozwala na wytyczenie jednostek terytorialnych objętych programami współpracy transgranicznej </w:t>
      </w:r>
      <w:proofErr w:type="spellStart"/>
      <w:r w:rsidRPr="004F0B3D">
        <w:t>Interreg</w:t>
      </w:r>
      <w:proofErr w:type="spellEnd"/>
      <w:r w:rsidRPr="004F0B3D">
        <w:t xml:space="preserve"> lub Europejskim Instrumentem Sąsiedztwa i Partnerstwa</w:t>
      </w:r>
      <w:r>
        <w:t xml:space="preserve"> (EISP)</w:t>
      </w:r>
      <w:r w:rsidRPr="004F0B3D">
        <w:t>/Europejski</w:t>
      </w:r>
      <w:r w:rsidR="0088417E">
        <w:t>m</w:t>
      </w:r>
      <w:r w:rsidRPr="004F0B3D">
        <w:t xml:space="preserve"> Instrument</w:t>
      </w:r>
      <w:r w:rsidR="0088417E">
        <w:t>em</w:t>
      </w:r>
      <w:r w:rsidRPr="004F0B3D">
        <w:t xml:space="preserve"> Sąsiedztwa</w:t>
      </w:r>
      <w:r>
        <w:t xml:space="preserve"> (EIS)</w:t>
      </w:r>
      <w:r w:rsidRPr="004F0B3D">
        <w:rPr>
          <w:rStyle w:val="Odwoanieprzypisudolnego"/>
        </w:rPr>
        <w:footnoteReference w:id="24"/>
      </w:r>
      <w:r w:rsidRPr="004F0B3D">
        <w:t>;</w:t>
      </w:r>
    </w:p>
    <w:p w14:paraId="315AFB32" w14:textId="77777777" w:rsidR="000752CB" w:rsidRPr="004F0B3D" w:rsidRDefault="000752CB" w:rsidP="000752CB">
      <w:pPr>
        <w:pStyle w:val="Akapitzlist"/>
        <w:numPr>
          <w:ilvl w:val="0"/>
          <w:numId w:val="28"/>
        </w:numPr>
        <w:spacing w:after="0" w:line="276" w:lineRule="auto"/>
        <w:jc w:val="both"/>
      </w:pPr>
      <w:r w:rsidRPr="004F0B3D">
        <w:t xml:space="preserve">kryterium dostępności transportowej – pozwala na identyfikację obszarów, w których przewidywany czas dojazdu do przejścia granicznego nie przekracza 60 minut, tj. </w:t>
      </w:r>
      <w:r w:rsidRPr="004F0B3D">
        <w:lastRenderedPageBreak/>
        <w:t>obszarów potencjalnych przepływów transgranicznych. Kryterium to pozwala także uchwycić kluczową rolę infrastruktury transportowej w rozwoju powiązań transgranicznych.</w:t>
      </w:r>
    </w:p>
    <w:p w14:paraId="0A637A45" w14:textId="6AF4D0A4" w:rsidR="000752CB" w:rsidRPr="004F0B3D" w:rsidRDefault="000752CB" w:rsidP="000752CB">
      <w:pPr>
        <w:pStyle w:val="Akapitzlist"/>
        <w:numPr>
          <w:ilvl w:val="0"/>
          <w:numId w:val="27"/>
        </w:numPr>
        <w:spacing w:after="0" w:line="276" w:lineRule="auto"/>
        <w:jc w:val="both"/>
      </w:pPr>
      <w:r w:rsidRPr="004F0B3D">
        <w:t>Powiązania transgraniczne i/lub wspólne potencjały i wyzwania –</w:t>
      </w:r>
      <w:r w:rsidR="00FA1DFE">
        <w:t xml:space="preserve"> kryterium </w:t>
      </w:r>
      <w:r w:rsidRPr="004F0B3D">
        <w:t>pozwala na identyfikację obszarów o odpowiednim natężeniu przepływów transgranicznych lub wybranych cechach geograficznych lub społeczno-gospodarczych (jednej lub więcej), które decydują o spójności i charakterze interakcj</w:t>
      </w:r>
      <w:r w:rsidR="00C752BA">
        <w:t>i</w:t>
      </w:r>
      <w:r w:rsidRPr="004F0B3D">
        <w:t xml:space="preserve"> wewnętrzn</w:t>
      </w:r>
      <w:r w:rsidR="00C752BA">
        <w:t>ych</w:t>
      </w:r>
      <w:r w:rsidRPr="004F0B3D">
        <w:t xml:space="preserve"> i zewnętrzn</w:t>
      </w:r>
      <w:r w:rsidR="00C752BA">
        <w:t>ych</w:t>
      </w:r>
      <w:r w:rsidRPr="004F0B3D">
        <w:t>. Pod tym względem można wyróżnić:</w:t>
      </w:r>
    </w:p>
    <w:p w14:paraId="25565906" w14:textId="6FD656F9" w:rsidR="000752CB" w:rsidRPr="004F0B3D" w:rsidRDefault="000752CB" w:rsidP="000752CB">
      <w:pPr>
        <w:pStyle w:val="Akapitzlist"/>
        <w:numPr>
          <w:ilvl w:val="0"/>
          <w:numId w:val="29"/>
        </w:numPr>
        <w:spacing w:after="0" w:line="276" w:lineRule="auto"/>
        <w:jc w:val="both"/>
      </w:pPr>
      <w:r w:rsidRPr="004F0B3D">
        <w:t>obszary wyznaczone według kryteriów funkcjonalnych – obejmują regiony metropolitalne, transgraniczne policentryczne regiony metropolitalne, „miasta bliźniacze” i miasta podzielone oraz obszary zdefiniowane na podstawie istniejących transgranicznych przepływ</w:t>
      </w:r>
      <w:r w:rsidR="00C752BA">
        <w:t>ów</w:t>
      </w:r>
      <w:r w:rsidRPr="004F0B3D">
        <w:t xml:space="preserve"> osób dojeżdżających do pracy;</w:t>
      </w:r>
    </w:p>
    <w:p w14:paraId="7CA1F83E" w14:textId="77777777" w:rsidR="000752CB" w:rsidRPr="004F0B3D" w:rsidRDefault="000752CB" w:rsidP="000752CB">
      <w:pPr>
        <w:pStyle w:val="Akapitzlist"/>
        <w:numPr>
          <w:ilvl w:val="0"/>
          <w:numId w:val="29"/>
        </w:numPr>
        <w:spacing w:after="0" w:line="276" w:lineRule="auto"/>
        <w:jc w:val="both"/>
      </w:pPr>
      <w:r w:rsidRPr="004F0B3D">
        <w:t>obszary wyznaczone według kryteriów geograficznych – obejmują obszary o szczególnych cechach geograficznych i krajobrazowych, tj. obszary górskie, obszary przybrzeżne, dorzecza, jak również transgraniczne obszary chronione;</w:t>
      </w:r>
    </w:p>
    <w:p w14:paraId="6CBD6426" w14:textId="77777777" w:rsidR="000752CB" w:rsidRDefault="000752CB" w:rsidP="000752CB">
      <w:pPr>
        <w:pStyle w:val="Akapitzlist"/>
        <w:numPr>
          <w:ilvl w:val="0"/>
          <w:numId w:val="29"/>
        </w:numPr>
        <w:spacing w:after="0" w:line="276" w:lineRule="auto"/>
        <w:jc w:val="both"/>
      </w:pPr>
      <w:r w:rsidRPr="004F0B3D">
        <w:t>obszary wyznaczone według kryteriów społeczno-gospodarczych – obejmują obszary o podobnych potencjałach rozwojowych lub wymagające restrukturyzacji i rozwoju nowych funkcji, tj. obszary podlegające silnym procesom wyludniania, tereny przemysłowe i poprzemysłowe, obszary z potencjałem do rozwoju sieci powiązań gospodarczych oraz obszary o szczególnym potencjale rozwoju turystyki.</w:t>
      </w:r>
    </w:p>
    <w:p w14:paraId="5C129C53" w14:textId="3175ACF8" w:rsidR="005F6261" w:rsidRPr="004F0B3D" w:rsidRDefault="005F6261" w:rsidP="002472EA">
      <w:pPr>
        <w:spacing w:after="0" w:line="276" w:lineRule="auto"/>
        <w:ind w:left="709"/>
        <w:jc w:val="both"/>
      </w:pPr>
      <w:r w:rsidRPr="008A5065">
        <w:t xml:space="preserve">Identyfikacja obszarów, które cechują powiązania funkcjonalne, stanowi ważną podstawę do określenia charakteru powiązań współpracy transgranicznej i </w:t>
      </w:r>
      <w:r w:rsidR="002472EA" w:rsidRPr="008A5065">
        <w:t xml:space="preserve">dalszej </w:t>
      </w:r>
      <w:r w:rsidR="00FE3E2F" w:rsidRPr="008A5065">
        <w:t xml:space="preserve">analizy </w:t>
      </w:r>
      <w:r w:rsidR="002472EA" w:rsidRPr="008A5065">
        <w:t xml:space="preserve">potencjalnych TOF. O ile wytyczenie TOF według kryteriów funkcjonalnych </w:t>
      </w:r>
      <w:r w:rsidRPr="008A5065">
        <w:t xml:space="preserve">pozwala na identyfikację </w:t>
      </w:r>
      <w:r w:rsidR="002472EA" w:rsidRPr="008A5065">
        <w:t>obszarów</w:t>
      </w:r>
      <w:r w:rsidRPr="008A5065">
        <w:t xml:space="preserve"> typu A (terytoria skupione wokół węzłów i koncentrują</w:t>
      </w:r>
      <w:r w:rsidR="002472EA" w:rsidRPr="008A5065">
        <w:t>ce</w:t>
      </w:r>
      <w:r w:rsidRPr="008A5065">
        <w:t xml:space="preserve"> powiązania systemowe), o tyle wyznaczenie </w:t>
      </w:r>
      <w:r w:rsidR="002472EA" w:rsidRPr="008A5065">
        <w:t>TOF</w:t>
      </w:r>
      <w:r w:rsidRPr="008A5065">
        <w:t xml:space="preserve"> według kryteriów geograficznych i społeczno-</w:t>
      </w:r>
      <w:r w:rsidR="002472EA" w:rsidRPr="008A5065">
        <w:t>gospodarczych</w:t>
      </w:r>
      <w:r w:rsidRPr="008A5065">
        <w:t xml:space="preserve"> pozwala na identyfikację </w:t>
      </w:r>
      <w:r w:rsidR="002472EA" w:rsidRPr="008A5065">
        <w:t>obszarów</w:t>
      </w:r>
      <w:r w:rsidRPr="008A5065">
        <w:t xml:space="preserve"> typu B (</w:t>
      </w:r>
      <w:r w:rsidR="002472EA" w:rsidRPr="008A5065">
        <w:t>terytoria wyznaczone według pewnych kryteriów definiujących, które określają spójność i charakter interakcji wewnętrznych i zewnętrznych</w:t>
      </w:r>
      <w:r w:rsidRPr="008A5065">
        <w:t>).</w:t>
      </w:r>
    </w:p>
    <w:p w14:paraId="38B7E8F0" w14:textId="7FC14C95" w:rsidR="000752CB" w:rsidRPr="004F0B3D" w:rsidRDefault="000752CB" w:rsidP="000752CB">
      <w:pPr>
        <w:pStyle w:val="Akapitzlist"/>
        <w:numPr>
          <w:ilvl w:val="0"/>
          <w:numId w:val="27"/>
        </w:numPr>
        <w:spacing w:after="0" w:line="276" w:lineRule="auto"/>
        <w:jc w:val="both"/>
      </w:pPr>
      <w:r w:rsidRPr="004F0B3D">
        <w:t xml:space="preserve">Intensywność współpracy transgranicznej – </w:t>
      </w:r>
      <w:r w:rsidR="00FA1DFE">
        <w:t xml:space="preserve">kryterium </w:t>
      </w:r>
      <w:r w:rsidRPr="004F0B3D">
        <w:t>ma na celu identyfikację partnerstw transgranicznych i wspólnych projektów wynikających z powiązań funkcjonalnych jako głównych motorów współpracy, po to, aby zlokalizować przestrzenne klastry partnerstw transgranicznych nastawionych na realizację wspólnych zamierzeń.</w:t>
      </w:r>
    </w:p>
    <w:p w14:paraId="026FFEA8" w14:textId="64EEAA11" w:rsidR="000752CB" w:rsidRPr="00D87541" w:rsidRDefault="000752CB" w:rsidP="000752CB">
      <w:pPr>
        <w:pStyle w:val="Akapitzlist"/>
        <w:numPr>
          <w:ilvl w:val="0"/>
          <w:numId w:val="27"/>
        </w:numPr>
        <w:spacing w:after="0" w:line="276" w:lineRule="auto"/>
        <w:jc w:val="both"/>
        <w:rPr>
          <w:rFonts w:ascii="Times New Roman" w:hAnsi="Times New Roman" w:cs="Times New Roman"/>
          <w:color w:val="000000"/>
          <w:kern w:val="0"/>
        </w:rPr>
      </w:pPr>
      <w:r w:rsidRPr="004F0B3D">
        <w:t xml:space="preserve">Formalne struktury zarządzania – </w:t>
      </w:r>
      <w:r w:rsidR="00FA1DFE">
        <w:t xml:space="preserve">kryterium </w:t>
      </w:r>
      <w:r w:rsidRPr="004F0B3D">
        <w:t>obejmuje różne formy zarządzania danym obszarem transgranicznym, tj</w:t>
      </w:r>
      <w:r w:rsidR="00C752BA">
        <w:t>.</w:t>
      </w:r>
      <w:r w:rsidRPr="004F0B3D">
        <w:t xml:space="preserve"> jego ramy administracyjno-instytucjonalne. W wielu przypadkach transgraniczne powiązania funkcjonalne mogą skłonić władze lokalne do zinstytucjonalizowania ustaleń o współpracy „o różnej wielkości, poziomie organizacji i możliwościach finansowych”, ustanowionych w oparciu o różne wspólne problemy, cele i potencjały, a także inne obszary będące przedmiotem wspólnego zainteresowania. </w:t>
      </w:r>
    </w:p>
    <w:p w14:paraId="4BF8C502" w14:textId="28AEAE07" w:rsidR="00242E81" w:rsidRPr="00242E81" w:rsidRDefault="00242E81" w:rsidP="00242E81">
      <w:pPr>
        <w:spacing w:after="0" w:line="276" w:lineRule="auto"/>
        <w:jc w:val="both"/>
        <w:rPr>
          <w:rFonts w:cstheme="minorHAnsi"/>
          <w:color w:val="000000"/>
          <w:kern w:val="0"/>
        </w:rPr>
      </w:pPr>
      <w:r w:rsidRPr="008A5065">
        <w:rPr>
          <w:rFonts w:cstheme="minorHAnsi"/>
          <w:color w:val="000000"/>
          <w:kern w:val="0"/>
        </w:rPr>
        <w:t>Model pozwala zidentyfikować obszary transgraniczne (poziom 1) charakteryzujące się powiązaniami funkcjonalnymi i/lub wspólnymi potencjałami i wyzwaniami (poziom 2), wzmacnianymi przez partnerów lokalnych dzięki wspólnym inicjatywom współpracy transgranicznej (poziom 3) oraz rozwojowi wspólnych, instytucjonalnych form współpracy (poziom 4). Pozytywna weryfikacja wszystkich czterech grup kryteriów pozw</w:t>
      </w:r>
      <w:r w:rsidR="00AC5BA8" w:rsidRPr="008A5065">
        <w:rPr>
          <w:rFonts w:cstheme="minorHAnsi"/>
          <w:color w:val="000000"/>
          <w:kern w:val="0"/>
        </w:rPr>
        <w:t>a</w:t>
      </w:r>
      <w:r w:rsidRPr="008A5065">
        <w:rPr>
          <w:rFonts w:cstheme="minorHAnsi"/>
          <w:color w:val="000000"/>
          <w:kern w:val="0"/>
        </w:rPr>
        <w:t>l</w:t>
      </w:r>
      <w:r w:rsidR="008A4974" w:rsidRPr="008A5065">
        <w:rPr>
          <w:rFonts w:cstheme="minorHAnsi"/>
          <w:color w:val="000000"/>
          <w:kern w:val="0"/>
        </w:rPr>
        <w:t>a</w:t>
      </w:r>
      <w:r w:rsidRPr="008A5065">
        <w:rPr>
          <w:rFonts w:cstheme="minorHAnsi"/>
          <w:color w:val="000000"/>
          <w:kern w:val="0"/>
        </w:rPr>
        <w:t xml:space="preserve"> na identyfikację istniejących TOF, natomiast identyfikacja obszarów spełniających odpowiednie kryteria na poziomach 1-3 na określenie potencjalnych TOF.</w:t>
      </w:r>
    </w:p>
    <w:p w14:paraId="5FF6D774" w14:textId="77777777" w:rsidR="006446A3" w:rsidRDefault="006446A3" w:rsidP="000752CB">
      <w:pPr>
        <w:spacing w:after="0" w:line="276" w:lineRule="auto"/>
        <w:jc w:val="both"/>
        <w:rPr>
          <w:rFonts w:cstheme="minorHAnsi"/>
          <w:b/>
          <w:bCs/>
          <w:color w:val="000000"/>
          <w:kern w:val="0"/>
          <w:sz w:val="20"/>
          <w:szCs w:val="20"/>
        </w:rPr>
      </w:pPr>
    </w:p>
    <w:p w14:paraId="7190804F" w14:textId="77777777" w:rsidR="006446A3" w:rsidRDefault="006446A3" w:rsidP="000752CB">
      <w:pPr>
        <w:spacing w:after="0" w:line="276" w:lineRule="auto"/>
        <w:jc w:val="both"/>
        <w:rPr>
          <w:rFonts w:cstheme="minorHAnsi"/>
          <w:b/>
          <w:bCs/>
          <w:color w:val="000000"/>
          <w:kern w:val="0"/>
          <w:sz w:val="20"/>
          <w:szCs w:val="20"/>
        </w:rPr>
      </w:pPr>
    </w:p>
    <w:p w14:paraId="0217BB19" w14:textId="77777777" w:rsidR="00AA37E1" w:rsidRDefault="00AA37E1" w:rsidP="000752CB">
      <w:pPr>
        <w:spacing w:after="0" w:line="276" w:lineRule="auto"/>
        <w:jc w:val="both"/>
        <w:rPr>
          <w:rFonts w:cstheme="minorHAnsi"/>
          <w:b/>
          <w:bCs/>
          <w:color w:val="000000"/>
          <w:kern w:val="0"/>
          <w:sz w:val="20"/>
          <w:szCs w:val="20"/>
        </w:rPr>
      </w:pPr>
    </w:p>
    <w:p w14:paraId="1D8920BD" w14:textId="0668EB4E" w:rsidR="000752CB" w:rsidRDefault="000752CB" w:rsidP="000752CB">
      <w:pPr>
        <w:spacing w:after="0" w:line="276" w:lineRule="auto"/>
        <w:jc w:val="both"/>
        <w:rPr>
          <w:rFonts w:cstheme="minorHAnsi"/>
          <w:color w:val="000000"/>
          <w:kern w:val="0"/>
          <w:sz w:val="20"/>
          <w:szCs w:val="20"/>
        </w:rPr>
      </w:pPr>
      <w:r w:rsidRPr="00D87541">
        <w:rPr>
          <w:rFonts w:cstheme="minorHAnsi"/>
          <w:b/>
          <w:bCs/>
          <w:color w:val="000000"/>
          <w:kern w:val="0"/>
          <w:sz w:val="20"/>
          <w:szCs w:val="20"/>
        </w:rPr>
        <w:t>Ryc. 2.</w:t>
      </w:r>
      <w:r w:rsidRPr="00D87541">
        <w:rPr>
          <w:rFonts w:cstheme="minorHAnsi"/>
          <w:color w:val="000000"/>
          <w:kern w:val="0"/>
          <w:sz w:val="20"/>
          <w:szCs w:val="20"/>
        </w:rPr>
        <w:t xml:space="preserve"> </w:t>
      </w:r>
      <w:r>
        <w:rPr>
          <w:rFonts w:cstheme="minorHAnsi"/>
          <w:color w:val="000000"/>
          <w:kern w:val="0"/>
          <w:sz w:val="20"/>
          <w:szCs w:val="20"/>
        </w:rPr>
        <w:t>Ramy koncepcyjne identyfikacji transgranicznych obszarów funkcjonalnych</w:t>
      </w:r>
    </w:p>
    <w:p w14:paraId="30B9C4DC" w14:textId="77777777" w:rsidR="000752CB" w:rsidRPr="000752CB" w:rsidRDefault="000752CB" w:rsidP="000752CB">
      <w:pPr>
        <w:spacing w:after="0" w:line="276" w:lineRule="auto"/>
        <w:jc w:val="both"/>
        <w:rPr>
          <w:rFonts w:cstheme="minorHAnsi"/>
          <w:color w:val="000000"/>
          <w:kern w:val="0"/>
          <w:sz w:val="4"/>
          <w:szCs w:val="4"/>
        </w:rPr>
      </w:pPr>
    </w:p>
    <w:p w14:paraId="21FEBC4C" w14:textId="448A65A2" w:rsidR="000752CB" w:rsidRPr="000752CB" w:rsidRDefault="000752CB" w:rsidP="000752CB">
      <w:pPr>
        <w:spacing w:after="0" w:line="276" w:lineRule="auto"/>
        <w:jc w:val="both"/>
        <w:rPr>
          <w:rFonts w:ascii="Times New Roman" w:hAnsi="Times New Roman" w:cs="Times New Roman"/>
          <w:color w:val="000000"/>
          <w:kern w:val="0"/>
        </w:rPr>
      </w:pPr>
      <w:r>
        <w:rPr>
          <w:noProof/>
        </w:rPr>
        <w:drawing>
          <wp:inline distT="0" distB="0" distL="0" distR="0" wp14:anchorId="3EB93104" wp14:editId="47367E0F">
            <wp:extent cx="5720715" cy="6190809"/>
            <wp:effectExtent l="0" t="0" r="0" b="635"/>
            <wp:docPr id="184588502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5885024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0643" cy="62015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BEE403" w14:textId="77777777" w:rsidR="000752CB" w:rsidRPr="000752CB" w:rsidRDefault="000752CB" w:rsidP="000752CB">
      <w:pPr>
        <w:spacing w:after="0" w:line="240" w:lineRule="auto"/>
        <w:jc w:val="both"/>
        <w:rPr>
          <w:b/>
          <w:bCs/>
          <w:sz w:val="4"/>
          <w:szCs w:val="4"/>
        </w:rPr>
      </w:pPr>
    </w:p>
    <w:p w14:paraId="443E08D1" w14:textId="546CF67C" w:rsidR="00EB0382" w:rsidRPr="000207B2" w:rsidRDefault="000752CB" w:rsidP="000752CB">
      <w:pPr>
        <w:spacing w:after="0" w:line="240" w:lineRule="auto"/>
        <w:jc w:val="both"/>
        <w:rPr>
          <w:rFonts w:ascii="Times New Roman" w:hAnsi="Times New Roman" w:cs="Times New Roman"/>
          <w:color w:val="000000"/>
          <w:kern w:val="0"/>
          <w:lang w:val="en-GB"/>
        </w:rPr>
      </w:pPr>
      <w:proofErr w:type="spellStart"/>
      <w:r w:rsidRPr="000207B2">
        <w:rPr>
          <w:b/>
          <w:bCs/>
          <w:sz w:val="20"/>
          <w:szCs w:val="20"/>
          <w:lang w:val="en-GB"/>
        </w:rPr>
        <w:t>Źródło</w:t>
      </w:r>
      <w:proofErr w:type="spellEnd"/>
      <w:r w:rsidRPr="000207B2">
        <w:rPr>
          <w:b/>
          <w:bCs/>
          <w:sz w:val="20"/>
          <w:szCs w:val="20"/>
          <w:lang w:val="en-GB"/>
        </w:rPr>
        <w:t>:</w:t>
      </w:r>
      <w:r w:rsidRPr="000207B2">
        <w:rPr>
          <w:sz w:val="20"/>
          <w:szCs w:val="20"/>
          <w:lang w:val="en-GB"/>
        </w:rPr>
        <w:t xml:space="preserve"> A. Jakubowski, K. </w:t>
      </w:r>
      <w:proofErr w:type="spellStart"/>
      <w:r w:rsidRPr="000207B2">
        <w:rPr>
          <w:sz w:val="20"/>
          <w:szCs w:val="20"/>
          <w:lang w:val="en-GB"/>
        </w:rPr>
        <w:t>Trykacz</w:t>
      </w:r>
      <w:proofErr w:type="spellEnd"/>
      <w:r w:rsidRPr="000207B2">
        <w:rPr>
          <w:sz w:val="20"/>
          <w:szCs w:val="20"/>
          <w:lang w:val="en-GB"/>
        </w:rPr>
        <w:t xml:space="preserve">, T. </w:t>
      </w:r>
      <w:proofErr w:type="spellStart"/>
      <w:r w:rsidRPr="000207B2">
        <w:rPr>
          <w:sz w:val="20"/>
          <w:szCs w:val="20"/>
          <w:lang w:val="en-GB"/>
        </w:rPr>
        <w:t>Studzieniecki</w:t>
      </w:r>
      <w:proofErr w:type="spellEnd"/>
      <w:r w:rsidRPr="000207B2">
        <w:rPr>
          <w:sz w:val="20"/>
          <w:szCs w:val="20"/>
          <w:lang w:val="en-GB"/>
        </w:rPr>
        <w:t xml:space="preserve">,  J. </w:t>
      </w:r>
      <w:proofErr w:type="spellStart"/>
      <w:r w:rsidRPr="000207B2">
        <w:rPr>
          <w:sz w:val="20"/>
          <w:szCs w:val="20"/>
          <w:lang w:val="en-GB"/>
        </w:rPr>
        <w:t>Skibiński</w:t>
      </w:r>
      <w:proofErr w:type="spellEnd"/>
      <w:r w:rsidRPr="000207B2">
        <w:rPr>
          <w:sz w:val="20"/>
          <w:szCs w:val="20"/>
          <w:lang w:val="en-GB"/>
        </w:rPr>
        <w:t xml:space="preserve">, </w:t>
      </w:r>
      <w:r w:rsidRPr="000207B2">
        <w:rPr>
          <w:i/>
          <w:iCs/>
          <w:sz w:val="20"/>
          <w:szCs w:val="20"/>
          <w:lang w:val="en-GB"/>
        </w:rPr>
        <w:t>Identifying cross-border functional areas: conceptual background and empirical findings from Polish borderlands</w:t>
      </w:r>
      <w:r w:rsidRPr="000207B2">
        <w:rPr>
          <w:sz w:val="20"/>
          <w:szCs w:val="20"/>
          <w:lang w:val="en-GB"/>
        </w:rPr>
        <w:t xml:space="preserve"> [w:] European Planning Studies, vol. 30, 2022, s. 2442</w:t>
      </w:r>
      <w:r w:rsidRPr="000207B2">
        <w:rPr>
          <w:lang w:val="en-GB"/>
        </w:rPr>
        <w:t>.</w:t>
      </w:r>
      <w:bookmarkEnd w:id="0"/>
    </w:p>
    <w:sectPr w:rsidR="00EB0382" w:rsidRPr="000207B2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42686F" w14:textId="77777777" w:rsidR="00CE3321" w:rsidRDefault="00CE3321" w:rsidP="00F25FAE">
      <w:pPr>
        <w:spacing w:after="0" w:line="240" w:lineRule="auto"/>
      </w:pPr>
      <w:r>
        <w:separator/>
      </w:r>
    </w:p>
  </w:endnote>
  <w:endnote w:type="continuationSeparator" w:id="0">
    <w:p w14:paraId="7C2B3048" w14:textId="77777777" w:rsidR="00CE3321" w:rsidRDefault="00CE3321" w:rsidP="00F25F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894659439"/>
      <w:docPartObj>
        <w:docPartGallery w:val="Page Numbers (Bottom of Page)"/>
        <w:docPartUnique/>
      </w:docPartObj>
    </w:sdtPr>
    <w:sdtContent>
      <w:p w14:paraId="5BECA7FC" w14:textId="0B798823" w:rsidR="00F25FAE" w:rsidRDefault="00F25FAE" w:rsidP="00F25FA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DF6A5B0" w14:textId="77777777" w:rsidR="00F25FAE" w:rsidRDefault="00F25F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5D833B" w14:textId="77777777" w:rsidR="00CE3321" w:rsidRDefault="00CE3321" w:rsidP="00F25FAE">
      <w:pPr>
        <w:spacing w:after="0" w:line="240" w:lineRule="auto"/>
      </w:pPr>
      <w:r>
        <w:separator/>
      </w:r>
    </w:p>
  </w:footnote>
  <w:footnote w:type="continuationSeparator" w:id="0">
    <w:p w14:paraId="78E9138D" w14:textId="77777777" w:rsidR="00CE3321" w:rsidRDefault="00CE3321" w:rsidP="00F25FAE">
      <w:pPr>
        <w:spacing w:after="0" w:line="240" w:lineRule="auto"/>
      </w:pPr>
      <w:r>
        <w:continuationSeparator/>
      </w:r>
    </w:p>
  </w:footnote>
  <w:footnote w:id="1">
    <w:p w14:paraId="4955DF9B" w14:textId="15AC3FA6" w:rsidR="001423E4" w:rsidRDefault="001423E4" w:rsidP="001423E4">
      <w:pPr>
        <w:pStyle w:val="Tekstprzypisudolnego"/>
        <w:ind w:firstLine="284"/>
      </w:pPr>
      <w:r>
        <w:rPr>
          <w:rStyle w:val="Odwoanieprzypisudolnego"/>
        </w:rPr>
        <w:footnoteRef/>
      </w:r>
      <w:r>
        <w:t xml:space="preserve"> Opracowanie: Marek Olszewski, Stowarzyszenie Rozwoju i Współpracy Regionalnej „Olza”. </w:t>
      </w:r>
    </w:p>
  </w:footnote>
  <w:footnote w:id="2">
    <w:p w14:paraId="725CD48D" w14:textId="77777777" w:rsidR="000752CB" w:rsidRPr="000207B2" w:rsidRDefault="000752CB" w:rsidP="000752CB">
      <w:pPr>
        <w:pStyle w:val="Tekstprzypisudolnego"/>
        <w:ind w:firstLine="284"/>
        <w:jc w:val="both"/>
        <w:rPr>
          <w:lang w:val="en-GB"/>
        </w:rPr>
      </w:pPr>
      <w:r>
        <w:rPr>
          <w:rStyle w:val="Odwoanieprzypisudolnego"/>
        </w:rPr>
        <w:footnoteRef/>
      </w:r>
      <w:r w:rsidRPr="000207B2">
        <w:rPr>
          <w:lang w:val="en-GB"/>
        </w:rPr>
        <w:t xml:space="preserve"> </w:t>
      </w:r>
      <w:r w:rsidRPr="000207B2">
        <w:rPr>
          <w:i/>
          <w:iCs/>
          <w:lang w:val="en-GB"/>
        </w:rPr>
        <w:t>Functional areas in member states of the Council of Europe – revised version. Preparatory Study for the 17th Session of theCouncil of Europe Conference of Ministers Responsible for Spatial Planning (CEMAT)</w:t>
      </w:r>
      <w:r w:rsidRPr="000207B2">
        <w:rPr>
          <w:lang w:val="en-GB"/>
        </w:rPr>
        <w:t>, Ministerul Dezvoltarii Regionale, Administratiei Publice si Fondurilor Europene, Bucharest, wrzesień 2017, s. 6.</w:t>
      </w:r>
    </w:p>
  </w:footnote>
  <w:footnote w:id="3">
    <w:p w14:paraId="6E530893" w14:textId="77777777" w:rsidR="000752CB" w:rsidRDefault="000752CB" w:rsidP="000752CB">
      <w:pPr>
        <w:pStyle w:val="Tekstprzypisudolnego"/>
        <w:ind w:firstLine="284"/>
      </w:pPr>
      <w:r>
        <w:rPr>
          <w:rStyle w:val="Odwoanieprzypisudolnego"/>
        </w:rPr>
        <w:footnoteRef/>
      </w:r>
      <w:r>
        <w:t xml:space="preserve"> Tamże.</w:t>
      </w:r>
    </w:p>
  </w:footnote>
  <w:footnote w:id="4">
    <w:p w14:paraId="027CEA37" w14:textId="77777777" w:rsidR="000752CB" w:rsidRDefault="000752CB" w:rsidP="000752CB">
      <w:pPr>
        <w:pStyle w:val="Tekstprzypisudolnego"/>
        <w:ind w:firstLine="284"/>
        <w:jc w:val="both"/>
      </w:pPr>
      <w:r>
        <w:rPr>
          <w:rStyle w:val="Odwoanieprzypisudolnego"/>
        </w:rPr>
        <w:footnoteRef/>
      </w:r>
      <w:r>
        <w:t xml:space="preserve"> </w:t>
      </w:r>
      <w:r w:rsidRPr="00254E69">
        <w:rPr>
          <w:i/>
          <w:iCs/>
        </w:rPr>
        <w:t>Koncepcja Przestrzennego Zagospodarowania Kraju 2030</w:t>
      </w:r>
      <w:r>
        <w:t>, Ministerstwo Rozwoju Regionalnego, Warszawa 2011, s. 178-179. Koncepcja została uchylona w listopadzie 2020 roku, a obecnie prowadzone są prace nad kolejnym dokumentem programowym kształtowania polityki przestrzennej Polski do roku 2050.</w:t>
      </w:r>
    </w:p>
  </w:footnote>
  <w:footnote w:id="5">
    <w:p w14:paraId="0D31E85F" w14:textId="77777777" w:rsidR="000752CB" w:rsidRDefault="000752CB" w:rsidP="000752CB">
      <w:pPr>
        <w:pStyle w:val="Tekstprzypisudolnego"/>
        <w:ind w:firstLine="284"/>
      </w:pPr>
      <w:r>
        <w:rPr>
          <w:rStyle w:val="Odwoanieprzypisudolnego"/>
        </w:rPr>
        <w:footnoteRef/>
      </w:r>
      <w:r>
        <w:t xml:space="preserve"> Tamże, s. 179. </w:t>
      </w:r>
    </w:p>
  </w:footnote>
  <w:footnote w:id="6">
    <w:p w14:paraId="4EAC3451" w14:textId="77777777" w:rsidR="000752CB" w:rsidRDefault="000752CB" w:rsidP="000752CB">
      <w:pPr>
        <w:pStyle w:val="Tekstprzypisudolnego"/>
        <w:ind w:firstLine="284"/>
        <w:jc w:val="both"/>
      </w:pPr>
      <w:r>
        <w:rPr>
          <w:rStyle w:val="Odwoanieprzypisudolnego"/>
        </w:rPr>
        <w:footnoteRef/>
      </w:r>
      <w:r>
        <w:t xml:space="preserve"> J. Ładysz, </w:t>
      </w:r>
      <w:r w:rsidRPr="00527221">
        <w:rPr>
          <w:i/>
          <w:iCs/>
        </w:rPr>
        <w:t>Delimitacja transgranicznych obszarów funkcjonalnych, Uniwersytet Ekonomiczny we Wrocławiu</w:t>
      </w:r>
      <w:r>
        <w:t>, Wrocław 2021, s. 18-19.</w:t>
      </w:r>
    </w:p>
  </w:footnote>
  <w:footnote w:id="7">
    <w:p w14:paraId="3F5FF3EA" w14:textId="77777777" w:rsidR="000752CB" w:rsidRPr="00C13697" w:rsidRDefault="000752CB" w:rsidP="000752C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Calibri" w:hAnsi="Calibri" w:cs="Calibri"/>
          <w:b/>
          <w:bCs/>
          <w:sz w:val="20"/>
          <w:szCs w:val="20"/>
        </w:rPr>
      </w:pPr>
      <w:r>
        <w:rPr>
          <w:rStyle w:val="Odwoanieprzypisudolnego"/>
        </w:rPr>
        <w:footnoteRef/>
      </w:r>
      <w:r>
        <w:t xml:space="preserve"> </w:t>
      </w:r>
      <w:r w:rsidRPr="00A6617D">
        <w:rPr>
          <w:rFonts w:ascii="Calibri" w:hAnsi="Calibri" w:cs="Calibri"/>
          <w:sz w:val="20"/>
          <w:szCs w:val="20"/>
        </w:rPr>
        <w:t xml:space="preserve">A. Jakubowski, K. </w:t>
      </w:r>
      <w:proofErr w:type="spellStart"/>
      <w:r w:rsidRPr="00A6617D">
        <w:rPr>
          <w:rFonts w:ascii="Calibri" w:hAnsi="Calibri" w:cs="Calibri"/>
          <w:sz w:val="20"/>
          <w:szCs w:val="20"/>
        </w:rPr>
        <w:t>Trykacz</w:t>
      </w:r>
      <w:proofErr w:type="spellEnd"/>
      <w:r w:rsidRPr="00A6617D">
        <w:rPr>
          <w:rFonts w:ascii="Calibri" w:hAnsi="Calibri" w:cs="Calibri"/>
          <w:sz w:val="20"/>
          <w:szCs w:val="20"/>
        </w:rPr>
        <w:t xml:space="preserve">, T. </w:t>
      </w:r>
      <w:proofErr w:type="spellStart"/>
      <w:r w:rsidRPr="00A6617D">
        <w:rPr>
          <w:rFonts w:ascii="Calibri" w:hAnsi="Calibri" w:cs="Calibri"/>
          <w:sz w:val="20"/>
          <w:szCs w:val="20"/>
        </w:rPr>
        <w:t>Studzieniecki</w:t>
      </w:r>
      <w:proofErr w:type="spellEnd"/>
      <w:r w:rsidRPr="00A6617D">
        <w:rPr>
          <w:rFonts w:ascii="Calibri" w:hAnsi="Calibri" w:cs="Calibri"/>
          <w:sz w:val="20"/>
          <w:szCs w:val="20"/>
        </w:rPr>
        <w:t xml:space="preserve">,  J. Skibiński, </w:t>
      </w:r>
      <w:proofErr w:type="spellStart"/>
      <w:r w:rsidRPr="00424CCE">
        <w:rPr>
          <w:rFonts w:ascii="Calibri" w:hAnsi="Calibri" w:cs="Calibri"/>
          <w:i/>
          <w:iCs/>
          <w:sz w:val="20"/>
          <w:szCs w:val="20"/>
        </w:rPr>
        <w:t>Identifying</w:t>
      </w:r>
      <w:proofErr w:type="spellEnd"/>
      <w:r w:rsidRPr="00424CCE">
        <w:rPr>
          <w:rFonts w:ascii="Calibri" w:hAnsi="Calibri" w:cs="Calibri"/>
          <w:i/>
          <w:iCs/>
          <w:sz w:val="20"/>
          <w:szCs w:val="20"/>
        </w:rPr>
        <w:t xml:space="preserve"> cross-</w:t>
      </w:r>
      <w:proofErr w:type="spellStart"/>
      <w:r w:rsidRPr="00424CCE">
        <w:rPr>
          <w:rFonts w:ascii="Calibri" w:hAnsi="Calibri" w:cs="Calibri"/>
          <w:i/>
          <w:iCs/>
          <w:sz w:val="20"/>
          <w:szCs w:val="20"/>
        </w:rPr>
        <w:t>border</w:t>
      </w:r>
      <w:proofErr w:type="spellEnd"/>
      <w:r w:rsidRPr="00424CCE">
        <w:rPr>
          <w:rFonts w:ascii="Calibri" w:hAnsi="Calibri" w:cs="Calibri"/>
          <w:i/>
          <w:iCs/>
          <w:sz w:val="20"/>
          <w:szCs w:val="20"/>
        </w:rPr>
        <w:t xml:space="preserve"> </w:t>
      </w:r>
      <w:proofErr w:type="spellStart"/>
      <w:r w:rsidRPr="00424CCE">
        <w:rPr>
          <w:rFonts w:ascii="Calibri" w:hAnsi="Calibri" w:cs="Calibri"/>
          <w:i/>
          <w:iCs/>
          <w:sz w:val="20"/>
          <w:szCs w:val="20"/>
        </w:rPr>
        <w:t>functional</w:t>
      </w:r>
      <w:proofErr w:type="spellEnd"/>
      <w:r w:rsidRPr="00424CCE">
        <w:rPr>
          <w:rFonts w:ascii="Calibri" w:hAnsi="Calibri" w:cs="Calibri"/>
          <w:i/>
          <w:iCs/>
          <w:sz w:val="20"/>
          <w:szCs w:val="20"/>
        </w:rPr>
        <w:t xml:space="preserve"> </w:t>
      </w:r>
      <w:proofErr w:type="spellStart"/>
      <w:r w:rsidRPr="00424CCE">
        <w:rPr>
          <w:rFonts w:ascii="Calibri" w:hAnsi="Calibri" w:cs="Calibri"/>
          <w:i/>
          <w:iCs/>
          <w:sz w:val="20"/>
          <w:szCs w:val="20"/>
        </w:rPr>
        <w:t>areas</w:t>
      </w:r>
      <w:proofErr w:type="spellEnd"/>
      <w:r w:rsidRPr="00424CCE">
        <w:rPr>
          <w:rFonts w:ascii="Calibri" w:hAnsi="Calibri" w:cs="Calibri"/>
          <w:i/>
          <w:iCs/>
          <w:sz w:val="20"/>
          <w:szCs w:val="20"/>
        </w:rPr>
        <w:t xml:space="preserve">. </w:t>
      </w:r>
      <w:proofErr w:type="spellStart"/>
      <w:r w:rsidRPr="00424CCE">
        <w:rPr>
          <w:rFonts w:ascii="Calibri" w:hAnsi="Calibri" w:cs="Calibri"/>
          <w:i/>
          <w:iCs/>
          <w:sz w:val="20"/>
          <w:szCs w:val="20"/>
        </w:rPr>
        <w:t>Conceptual</w:t>
      </w:r>
      <w:proofErr w:type="spellEnd"/>
      <w:r w:rsidRPr="00424CCE">
        <w:rPr>
          <w:rFonts w:ascii="Calibri" w:hAnsi="Calibri" w:cs="Calibri"/>
          <w:i/>
          <w:iCs/>
          <w:sz w:val="20"/>
          <w:szCs w:val="20"/>
        </w:rPr>
        <w:t xml:space="preserve"> </w:t>
      </w:r>
      <w:proofErr w:type="spellStart"/>
      <w:r w:rsidRPr="00424CCE">
        <w:rPr>
          <w:rFonts w:ascii="Calibri" w:hAnsi="Calibri" w:cs="Calibri"/>
          <w:i/>
          <w:iCs/>
          <w:sz w:val="20"/>
          <w:szCs w:val="20"/>
        </w:rPr>
        <w:t>background</w:t>
      </w:r>
      <w:proofErr w:type="spellEnd"/>
      <w:r w:rsidRPr="00424CCE">
        <w:rPr>
          <w:rFonts w:ascii="Calibri" w:hAnsi="Calibri" w:cs="Calibri"/>
          <w:i/>
          <w:iCs/>
          <w:sz w:val="20"/>
          <w:szCs w:val="20"/>
        </w:rPr>
        <w:t xml:space="preserve">, </w:t>
      </w:r>
      <w:proofErr w:type="spellStart"/>
      <w:r w:rsidRPr="00424CCE">
        <w:rPr>
          <w:rFonts w:ascii="Calibri" w:hAnsi="Calibri" w:cs="Calibri"/>
          <w:i/>
          <w:iCs/>
          <w:sz w:val="20"/>
          <w:szCs w:val="20"/>
        </w:rPr>
        <w:t>empirical</w:t>
      </w:r>
      <w:proofErr w:type="spellEnd"/>
      <w:r w:rsidRPr="00424CCE">
        <w:rPr>
          <w:rFonts w:ascii="Calibri" w:hAnsi="Calibri" w:cs="Calibri"/>
          <w:i/>
          <w:iCs/>
          <w:sz w:val="20"/>
          <w:szCs w:val="20"/>
        </w:rPr>
        <w:t xml:space="preserve"> </w:t>
      </w:r>
      <w:proofErr w:type="spellStart"/>
      <w:r w:rsidRPr="00424CCE">
        <w:rPr>
          <w:rFonts w:ascii="Calibri" w:hAnsi="Calibri" w:cs="Calibri"/>
          <w:i/>
          <w:iCs/>
          <w:sz w:val="20"/>
          <w:szCs w:val="20"/>
        </w:rPr>
        <w:t>evidence</w:t>
      </w:r>
      <w:proofErr w:type="spellEnd"/>
      <w:r w:rsidRPr="00424CCE">
        <w:rPr>
          <w:rFonts w:ascii="Calibri" w:hAnsi="Calibri" w:cs="Calibri"/>
          <w:i/>
          <w:iCs/>
          <w:sz w:val="20"/>
          <w:szCs w:val="20"/>
        </w:rPr>
        <w:t xml:space="preserve"> and policy </w:t>
      </w:r>
      <w:proofErr w:type="spellStart"/>
      <w:r w:rsidRPr="00424CCE">
        <w:rPr>
          <w:rFonts w:ascii="Calibri" w:hAnsi="Calibri" w:cs="Calibri"/>
          <w:i/>
          <w:iCs/>
          <w:sz w:val="20"/>
          <w:szCs w:val="20"/>
        </w:rPr>
        <w:t>implications</w:t>
      </w:r>
      <w:proofErr w:type="spellEnd"/>
      <w:r w:rsidRPr="00424CCE">
        <w:rPr>
          <w:rFonts w:ascii="Calibri" w:hAnsi="Calibri" w:cs="Calibri"/>
          <w:i/>
          <w:iCs/>
          <w:sz w:val="20"/>
          <w:szCs w:val="20"/>
        </w:rPr>
        <w:t xml:space="preserve"> – prezentacja, 18th </w:t>
      </w:r>
      <w:proofErr w:type="spellStart"/>
      <w:r w:rsidRPr="00424CCE">
        <w:rPr>
          <w:rFonts w:ascii="Calibri" w:hAnsi="Calibri" w:cs="Calibri"/>
          <w:i/>
          <w:iCs/>
          <w:sz w:val="20"/>
          <w:szCs w:val="20"/>
        </w:rPr>
        <w:t>European</w:t>
      </w:r>
      <w:proofErr w:type="spellEnd"/>
      <w:r w:rsidRPr="00424CCE">
        <w:rPr>
          <w:rFonts w:ascii="Calibri" w:hAnsi="Calibri" w:cs="Calibri"/>
          <w:i/>
          <w:iCs/>
          <w:sz w:val="20"/>
          <w:szCs w:val="20"/>
        </w:rPr>
        <w:t xml:space="preserve"> </w:t>
      </w:r>
      <w:proofErr w:type="spellStart"/>
      <w:r w:rsidRPr="00424CCE">
        <w:rPr>
          <w:rFonts w:ascii="Calibri" w:hAnsi="Calibri" w:cs="Calibri"/>
          <w:i/>
          <w:iCs/>
          <w:sz w:val="20"/>
          <w:szCs w:val="20"/>
        </w:rPr>
        <w:t>Week</w:t>
      </w:r>
      <w:proofErr w:type="spellEnd"/>
      <w:r w:rsidRPr="00424CCE">
        <w:rPr>
          <w:rFonts w:ascii="Calibri" w:hAnsi="Calibri" w:cs="Calibri"/>
          <w:i/>
          <w:iCs/>
          <w:sz w:val="20"/>
          <w:szCs w:val="20"/>
        </w:rPr>
        <w:t xml:space="preserve"> of Regions and Cities</w:t>
      </w:r>
      <w:r w:rsidRPr="00A6617D">
        <w:rPr>
          <w:rFonts w:ascii="Calibri" w:hAnsi="Calibri" w:cs="Calibri"/>
          <w:sz w:val="20"/>
          <w:szCs w:val="20"/>
        </w:rPr>
        <w:t>, Wydział Nauk o Ziemi i Gospodarki Przestrzennej UMCS, Uniwersytet Morski w Gdyni, październik 2020.</w:t>
      </w:r>
    </w:p>
  </w:footnote>
  <w:footnote w:id="8">
    <w:p w14:paraId="0291F911" w14:textId="77777777" w:rsidR="00162192" w:rsidRPr="000207B2" w:rsidRDefault="00162192" w:rsidP="00162192">
      <w:pPr>
        <w:pStyle w:val="Tekstprzypisudolnego"/>
        <w:ind w:firstLine="284"/>
        <w:jc w:val="both"/>
        <w:rPr>
          <w:lang w:val="en-GB"/>
        </w:rPr>
      </w:pPr>
      <w:r>
        <w:rPr>
          <w:rStyle w:val="Odwoanieprzypisudolnego"/>
        </w:rPr>
        <w:footnoteRef/>
      </w:r>
      <w:r w:rsidRPr="000207B2">
        <w:rPr>
          <w:lang w:val="en-GB"/>
        </w:rPr>
        <w:t xml:space="preserve"> A. Jakubowski, K. Trykacz, T. Studzieniecki,  J. Skibiński, </w:t>
      </w:r>
      <w:r w:rsidRPr="000207B2">
        <w:rPr>
          <w:i/>
          <w:iCs/>
          <w:lang w:val="en-GB"/>
        </w:rPr>
        <w:t>Identifying cross-border functional areas: conceptual background and empirical findings from Polish borderlands</w:t>
      </w:r>
      <w:r w:rsidRPr="000207B2">
        <w:rPr>
          <w:lang w:val="en-GB"/>
        </w:rPr>
        <w:t xml:space="preserve"> [w:] European Planning Studies, vol. 30, 2022, s. 2433-2455. </w:t>
      </w:r>
    </w:p>
  </w:footnote>
  <w:footnote w:id="9">
    <w:p w14:paraId="7BDABCD9" w14:textId="77777777" w:rsidR="000752CB" w:rsidRDefault="000752CB" w:rsidP="000752CB">
      <w:pPr>
        <w:pStyle w:val="Tekstprzypisudolnego"/>
        <w:ind w:firstLine="284"/>
        <w:jc w:val="both"/>
      </w:pPr>
      <w:r>
        <w:rPr>
          <w:rStyle w:val="Odwoanieprzypisudolnego"/>
        </w:rPr>
        <w:footnoteRef/>
      </w:r>
      <w:r>
        <w:t xml:space="preserve"> </w:t>
      </w:r>
      <w:r w:rsidRPr="00EF0AD6">
        <w:t xml:space="preserve">M. Olszewski (red.), Strategia rozwoju Euroregionu Śląsk Cieszyński na lata 2021-2027, Stowarzyszenie Rozwoju i Współpracy Regionalnej </w:t>
      </w:r>
      <w:proofErr w:type="spellStart"/>
      <w:r w:rsidRPr="00EF0AD6">
        <w:t>„Olza”</w:t>
      </w:r>
      <w:proofErr w:type="spellEnd"/>
      <w:r w:rsidRPr="00EF0AD6">
        <w:t>/</w:t>
      </w:r>
      <w:proofErr w:type="spellStart"/>
      <w:r w:rsidRPr="00EF0AD6">
        <w:t>Regionální</w:t>
      </w:r>
      <w:proofErr w:type="spellEnd"/>
      <w:r w:rsidRPr="00EF0AD6">
        <w:t xml:space="preserve"> </w:t>
      </w:r>
      <w:proofErr w:type="spellStart"/>
      <w:r w:rsidRPr="00EF0AD6">
        <w:t>sdružení</w:t>
      </w:r>
      <w:proofErr w:type="spellEnd"/>
      <w:r w:rsidRPr="00EF0AD6">
        <w:t xml:space="preserve"> </w:t>
      </w:r>
      <w:proofErr w:type="spellStart"/>
      <w:r w:rsidRPr="00EF0AD6">
        <w:t>územní</w:t>
      </w:r>
      <w:proofErr w:type="spellEnd"/>
      <w:r w:rsidRPr="00EF0AD6">
        <w:t xml:space="preserve"> </w:t>
      </w:r>
      <w:proofErr w:type="spellStart"/>
      <w:r w:rsidRPr="00EF0AD6">
        <w:t>spolupráce</w:t>
      </w:r>
      <w:proofErr w:type="spellEnd"/>
      <w:r w:rsidRPr="00EF0AD6">
        <w:t xml:space="preserve"> </w:t>
      </w:r>
      <w:proofErr w:type="spellStart"/>
      <w:r w:rsidRPr="00EF0AD6">
        <w:t>Těšínského</w:t>
      </w:r>
      <w:proofErr w:type="spellEnd"/>
      <w:r w:rsidRPr="00EF0AD6">
        <w:t xml:space="preserve"> </w:t>
      </w:r>
      <w:proofErr w:type="spellStart"/>
      <w:r w:rsidRPr="00EF0AD6">
        <w:t>Slezska</w:t>
      </w:r>
      <w:proofErr w:type="spellEnd"/>
      <w:r w:rsidRPr="00EF0AD6">
        <w:t>, Cieszyn-</w:t>
      </w:r>
      <w:proofErr w:type="spellStart"/>
      <w:r w:rsidRPr="00EF0AD6">
        <w:t>Český</w:t>
      </w:r>
      <w:proofErr w:type="spellEnd"/>
      <w:r w:rsidRPr="00EF0AD6">
        <w:t xml:space="preserve"> </w:t>
      </w:r>
      <w:proofErr w:type="spellStart"/>
      <w:r w:rsidRPr="00EF0AD6">
        <w:t>Těšín</w:t>
      </w:r>
      <w:proofErr w:type="spellEnd"/>
      <w:r w:rsidRPr="00EF0AD6">
        <w:t>, grudzień 2021, 122 s.</w:t>
      </w:r>
    </w:p>
  </w:footnote>
  <w:footnote w:id="10">
    <w:p w14:paraId="3340411E" w14:textId="2B75CEFE" w:rsidR="003B0C6F" w:rsidRDefault="003B0C6F" w:rsidP="003B0C6F">
      <w:pPr>
        <w:pStyle w:val="Tekstprzypisudolnego"/>
        <w:ind w:firstLine="284"/>
      </w:pPr>
      <w:r>
        <w:rPr>
          <w:rStyle w:val="Odwoanieprzypisudolnego"/>
        </w:rPr>
        <w:footnoteRef/>
      </w:r>
      <w:r>
        <w:t xml:space="preserve"> </w:t>
      </w:r>
      <w:proofErr w:type="spellStart"/>
      <w:r w:rsidRPr="003B0C6F">
        <w:t>Svazek</w:t>
      </w:r>
      <w:proofErr w:type="spellEnd"/>
      <w:r w:rsidRPr="003B0C6F">
        <w:t xml:space="preserve"> </w:t>
      </w:r>
      <w:proofErr w:type="spellStart"/>
      <w:r w:rsidRPr="003B0C6F">
        <w:t>měst</w:t>
      </w:r>
      <w:proofErr w:type="spellEnd"/>
      <w:r w:rsidRPr="003B0C6F">
        <w:t xml:space="preserve"> a </w:t>
      </w:r>
      <w:proofErr w:type="spellStart"/>
      <w:r w:rsidRPr="003B0C6F">
        <w:t>obcí</w:t>
      </w:r>
      <w:proofErr w:type="spellEnd"/>
      <w:r w:rsidRPr="003B0C6F">
        <w:t xml:space="preserve"> okresu </w:t>
      </w:r>
      <w:proofErr w:type="spellStart"/>
      <w:r w:rsidRPr="003B0C6F">
        <w:t>Karviná</w:t>
      </w:r>
      <w:proofErr w:type="spellEnd"/>
      <w:r w:rsidRPr="003B0C6F">
        <w:t>.</w:t>
      </w:r>
    </w:p>
  </w:footnote>
  <w:footnote w:id="11">
    <w:p w14:paraId="66FF99BE" w14:textId="39B7861D" w:rsidR="003B0C6F" w:rsidRDefault="003B0C6F" w:rsidP="003B0C6F">
      <w:pPr>
        <w:pStyle w:val="Tekstprzypisudolnego"/>
        <w:ind w:firstLine="284"/>
      </w:pPr>
      <w:r>
        <w:rPr>
          <w:rStyle w:val="Odwoanieprzypisudolnego"/>
        </w:rPr>
        <w:footnoteRef/>
      </w:r>
      <w:r>
        <w:t xml:space="preserve"> </w:t>
      </w:r>
      <w:proofErr w:type="spellStart"/>
      <w:r w:rsidRPr="003B0C6F">
        <w:t>Regionální</w:t>
      </w:r>
      <w:proofErr w:type="spellEnd"/>
      <w:r w:rsidRPr="003B0C6F">
        <w:t xml:space="preserve"> rada </w:t>
      </w:r>
      <w:proofErr w:type="spellStart"/>
      <w:r w:rsidRPr="003B0C6F">
        <w:t>rozvoje</w:t>
      </w:r>
      <w:proofErr w:type="spellEnd"/>
      <w:r w:rsidRPr="003B0C6F">
        <w:t xml:space="preserve"> a </w:t>
      </w:r>
      <w:proofErr w:type="spellStart"/>
      <w:r w:rsidRPr="003B0C6F">
        <w:t>spolupráce</w:t>
      </w:r>
      <w:proofErr w:type="spellEnd"/>
      <w:r w:rsidRPr="003B0C6F">
        <w:t xml:space="preserve"> </w:t>
      </w:r>
      <w:proofErr w:type="spellStart"/>
      <w:r w:rsidRPr="003B0C6F">
        <w:t>se</w:t>
      </w:r>
      <w:proofErr w:type="spellEnd"/>
      <w:r w:rsidRPr="003B0C6F">
        <w:t xml:space="preserve"> </w:t>
      </w:r>
      <w:proofErr w:type="spellStart"/>
      <w:r w:rsidRPr="003B0C6F">
        <w:t>sídlem</w:t>
      </w:r>
      <w:proofErr w:type="spellEnd"/>
      <w:r w:rsidRPr="003B0C6F">
        <w:t xml:space="preserve"> v </w:t>
      </w:r>
      <w:proofErr w:type="spellStart"/>
      <w:r w:rsidRPr="003B0C6F">
        <w:t>Třinci</w:t>
      </w:r>
      <w:proofErr w:type="spellEnd"/>
      <w:r>
        <w:t>.</w:t>
      </w:r>
    </w:p>
  </w:footnote>
  <w:footnote w:id="12">
    <w:p w14:paraId="1E382BA5" w14:textId="64325531" w:rsidR="001423E4" w:rsidRDefault="001423E4" w:rsidP="001423E4">
      <w:pPr>
        <w:pStyle w:val="Tekstprzypisudolnego"/>
        <w:ind w:firstLine="284"/>
      </w:pPr>
      <w:r>
        <w:rPr>
          <w:rStyle w:val="Odwoanieprzypisudolnego"/>
        </w:rPr>
        <w:footnoteRef/>
      </w:r>
      <w:r>
        <w:t xml:space="preserve"> </w:t>
      </w:r>
      <w:proofErr w:type="spellStart"/>
      <w:r w:rsidRPr="001423E4">
        <w:t>Sdružení</w:t>
      </w:r>
      <w:proofErr w:type="spellEnd"/>
      <w:r w:rsidRPr="001423E4">
        <w:t xml:space="preserve"> </w:t>
      </w:r>
      <w:proofErr w:type="spellStart"/>
      <w:r w:rsidRPr="001423E4">
        <w:t>obcí</w:t>
      </w:r>
      <w:proofErr w:type="spellEnd"/>
      <w:r w:rsidRPr="001423E4">
        <w:t xml:space="preserve"> </w:t>
      </w:r>
      <w:proofErr w:type="spellStart"/>
      <w:r w:rsidRPr="001423E4">
        <w:t>Jablunkovska</w:t>
      </w:r>
      <w:proofErr w:type="spellEnd"/>
      <w:r>
        <w:t>.</w:t>
      </w:r>
    </w:p>
  </w:footnote>
  <w:footnote w:id="13">
    <w:p w14:paraId="7C30EFA2" w14:textId="4E8EC340" w:rsidR="001423E4" w:rsidRDefault="001423E4" w:rsidP="001423E4">
      <w:pPr>
        <w:pStyle w:val="Tekstprzypisudolnego"/>
        <w:ind w:firstLine="284"/>
      </w:pPr>
      <w:r>
        <w:rPr>
          <w:rStyle w:val="Odwoanieprzypisudolnego"/>
        </w:rPr>
        <w:footnoteRef/>
      </w:r>
      <w:r>
        <w:t xml:space="preserve"> </w:t>
      </w:r>
      <w:proofErr w:type="spellStart"/>
      <w:r w:rsidRPr="003B0C6F">
        <w:rPr>
          <w:rFonts w:eastAsia="Times New Roman" w:cstheme="minorHAnsi"/>
          <w:kern w:val="0"/>
          <w:lang w:eastAsia="pl-PL"/>
          <w14:ligatures w14:val="none"/>
        </w:rPr>
        <w:t>Sdružení</w:t>
      </w:r>
      <w:proofErr w:type="spellEnd"/>
      <w:r w:rsidRPr="003B0C6F">
        <w:rPr>
          <w:rFonts w:eastAsia="Times New Roman" w:cstheme="minorHAnsi"/>
          <w:kern w:val="0"/>
          <w:lang w:eastAsia="pl-PL"/>
          <w14:ligatures w14:val="none"/>
        </w:rPr>
        <w:t xml:space="preserve"> </w:t>
      </w:r>
      <w:proofErr w:type="spellStart"/>
      <w:r w:rsidRPr="003B0C6F">
        <w:rPr>
          <w:rFonts w:eastAsia="Times New Roman" w:cstheme="minorHAnsi"/>
          <w:kern w:val="0"/>
          <w:lang w:eastAsia="pl-PL"/>
          <w14:ligatures w14:val="none"/>
        </w:rPr>
        <w:t>obcí</w:t>
      </w:r>
      <w:proofErr w:type="spellEnd"/>
      <w:r w:rsidRPr="003B0C6F">
        <w:rPr>
          <w:rFonts w:eastAsia="Times New Roman" w:cstheme="minorHAnsi"/>
          <w:kern w:val="0"/>
          <w:lang w:eastAsia="pl-PL"/>
          <w14:ligatures w14:val="none"/>
        </w:rPr>
        <w:t xml:space="preserve"> </w:t>
      </w:r>
      <w:proofErr w:type="spellStart"/>
      <w:r w:rsidRPr="003B0C6F">
        <w:rPr>
          <w:rFonts w:eastAsia="Times New Roman" w:cstheme="minorHAnsi"/>
          <w:kern w:val="0"/>
          <w:lang w:eastAsia="pl-PL"/>
          <w14:ligatures w14:val="none"/>
        </w:rPr>
        <w:t>povodí</w:t>
      </w:r>
      <w:proofErr w:type="spellEnd"/>
      <w:r w:rsidRPr="003B0C6F">
        <w:rPr>
          <w:rFonts w:eastAsia="Times New Roman" w:cstheme="minorHAnsi"/>
          <w:kern w:val="0"/>
          <w:lang w:eastAsia="pl-PL"/>
          <w14:ligatures w14:val="none"/>
        </w:rPr>
        <w:t xml:space="preserve"> </w:t>
      </w:r>
      <w:proofErr w:type="spellStart"/>
      <w:r w:rsidRPr="003B0C6F">
        <w:rPr>
          <w:rFonts w:eastAsia="Times New Roman" w:cstheme="minorHAnsi"/>
          <w:kern w:val="0"/>
          <w:lang w:eastAsia="pl-PL"/>
          <w14:ligatures w14:val="none"/>
        </w:rPr>
        <w:t>Stonávky</w:t>
      </w:r>
      <w:proofErr w:type="spellEnd"/>
      <w:r>
        <w:rPr>
          <w:rFonts w:eastAsia="Times New Roman" w:cstheme="minorHAnsi"/>
          <w:kern w:val="0"/>
          <w:lang w:eastAsia="pl-PL"/>
          <w14:ligatures w14:val="none"/>
        </w:rPr>
        <w:t>.</w:t>
      </w:r>
    </w:p>
  </w:footnote>
  <w:footnote w:id="14">
    <w:p w14:paraId="118BD2B0" w14:textId="77777777" w:rsidR="000752CB" w:rsidRDefault="000752CB" w:rsidP="000752CB">
      <w:pPr>
        <w:pStyle w:val="Tekstprzypisudolnego"/>
        <w:ind w:firstLine="284"/>
        <w:jc w:val="both"/>
      </w:pPr>
      <w:r>
        <w:rPr>
          <w:rStyle w:val="Odwoanieprzypisudolnego"/>
        </w:rPr>
        <w:footnoteRef/>
      </w:r>
      <w:r>
        <w:t xml:space="preserve"> </w:t>
      </w:r>
      <w:r w:rsidRPr="002C6505">
        <w:rPr>
          <w:i/>
          <w:iCs/>
        </w:rPr>
        <w:t>Traktat o funkcjonowaniu Unii Europejskiej (wersja skonsolidowana)</w:t>
      </w:r>
      <w:r>
        <w:t xml:space="preserve">, </w:t>
      </w:r>
      <w:r w:rsidRPr="002C6505">
        <w:t>Dziennik Urzędowy Unii Europejskiej</w:t>
      </w:r>
      <w:r>
        <w:t>,</w:t>
      </w:r>
      <w:r w:rsidRPr="002C6505">
        <w:t xml:space="preserve"> 26.10.2012</w:t>
      </w:r>
      <w:r w:rsidRPr="00631685">
        <w:t>.</w:t>
      </w:r>
    </w:p>
  </w:footnote>
  <w:footnote w:id="15">
    <w:p w14:paraId="3C1E552C" w14:textId="77777777" w:rsidR="000752CB" w:rsidRPr="000207B2" w:rsidRDefault="000752CB" w:rsidP="000752CB">
      <w:pPr>
        <w:pStyle w:val="Tekstprzypisudolnego"/>
        <w:ind w:firstLine="284"/>
        <w:jc w:val="both"/>
        <w:rPr>
          <w:lang w:val="en-GB"/>
        </w:rPr>
      </w:pPr>
      <w:r>
        <w:rPr>
          <w:rStyle w:val="Odwoanieprzypisudolnego"/>
        </w:rPr>
        <w:footnoteRef/>
      </w:r>
      <w:r w:rsidRPr="000207B2">
        <w:rPr>
          <w:lang w:val="en-GB"/>
        </w:rPr>
        <w:t xml:space="preserve"> </w:t>
      </w:r>
      <w:r w:rsidRPr="000207B2">
        <w:rPr>
          <w:i/>
          <w:iCs/>
          <w:lang w:val="en-GB"/>
        </w:rPr>
        <w:t>Territorial Agenda 2030. A future for all places</w:t>
      </w:r>
      <w:r w:rsidRPr="000207B2">
        <w:rPr>
          <w:lang w:val="en-GB"/>
        </w:rPr>
        <w:t>, Informal meeting of Ministers responsible for Spatial Planning and Territorial Development and/or Territorial Cohesion, Niemcy, 1 grudnia 2020, s. 4.</w:t>
      </w:r>
    </w:p>
  </w:footnote>
  <w:footnote w:id="16">
    <w:p w14:paraId="72B64B67" w14:textId="77777777" w:rsidR="000752CB" w:rsidRDefault="000752CB" w:rsidP="000752CB">
      <w:pPr>
        <w:pStyle w:val="Tekstprzypisudolnego"/>
        <w:ind w:firstLine="284"/>
        <w:jc w:val="both"/>
      </w:pPr>
      <w:r>
        <w:rPr>
          <w:rStyle w:val="Odwoanieprzypisudolnego"/>
        </w:rPr>
        <w:footnoteRef/>
      </w:r>
      <w:r>
        <w:t xml:space="preserve"> M. Olszewski, </w:t>
      </w:r>
      <w:r w:rsidRPr="00664072">
        <w:rPr>
          <w:i/>
          <w:iCs/>
        </w:rPr>
        <w:t>Projekty współpracy międzyregionalnej jako narzędzie integracji i rozwoju Euroregionu Śląsk Cieszyński</w:t>
      </w:r>
      <w:r>
        <w:t xml:space="preserve"> [w:] red.: A. Kasperek, </w:t>
      </w:r>
      <w:r w:rsidRPr="00664072">
        <w:rPr>
          <w:i/>
          <w:iCs/>
        </w:rPr>
        <w:t>Euroregion Śląsk Cieszyński</w:t>
      </w:r>
      <w:r>
        <w:rPr>
          <w:i/>
          <w:iCs/>
        </w:rPr>
        <w:t>-</w:t>
      </w:r>
      <w:proofErr w:type="spellStart"/>
      <w:r w:rsidRPr="00664072">
        <w:rPr>
          <w:i/>
          <w:iCs/>
        </w:rPr>
        <w:t>Těšínské</w:t>
      </w:r>
      <w:proofErr w:type="spellEnd"/>
      <w:r w:rsidRPr="00664072">
        <w:rPr>
          <w:i/>
          <w:iCs/>
        </w:rPr>
        <w:t xml:space="preserve"> </w:t>
      </w:r>
      <w:proofErr w:type="spellStart"/>
      <w:r w:rsidRPr="00664072">
        <w:rPr>
          <w:i/>
          <w:iCs/>
        </w:rPr>
        <w:t>Slezsko</w:t>
      </w:r>
      <w:proofErr w:type="spellEnd"/>
      <w:r w:rsidRPr="00664072">
        <w:rPr>
          <w:i/>
          <w:iCs/>
        </w:rPr>
        <w:t xml:space="preserve">. Współpraca transgraniczna i międzyregionalna prowadzona w obszarze </w:t>
      </w:r>
      <w:proofErr w:type="spellStart"/>
      <w:r w:rsidRPr="00664072">
        <w:rPr>
          <w:i/>
          <w:iCs/>
        </w:rPr>
        <w:t>trójstyku</w:t>
      </w:r>
      <w:proofErr w:type="spellEnd"/>
      <w:r w:rsidRPr="00664072">
        <w:rPr>
          <w:i/>
          <w:iCs/>
        </w:rPr>
        <w:t xml:space="preserve"> polsko-czesko-słowackiego</w:t>
      </w:r>
      <w:r>
        <w:t xml:space="preserve">, Seria TRANSCARPATHICA Prace </w:t>
      </w:r>
      <w:proofErr w:type="spellStart"/>
      <w:r>
        <w:t>EuroInstytutu</w:t>
      </w:r>
      <w:proofErr w:type="spellEnd"/>
      <w:r>
        <w:t xml:space="preserve"> Polsko-Czesko-Słowackiego, tom III, Polska Akademia Nauk Oddział w Katowicach/Stowarzyszenie Rozwoju i Współpracy Regionalnej „Olza”, Cieszyn-Katowice, 2014, s. 84-98.</w:t>
      </w:r>
    </w:p>
  </w:footnote>
  <w:footnote w:id="17">
    <w:p w14:paraId="5677A720" w14:textId="77777777" w:rsidR="000752CB" w:rsidRDefault="000752CB" w:rsidP="000752CB">
      <w:pPr>
        <w:pStyle w:val="Tekstprzypisudolnego"/>
        <w:ind w:firstLine="284"/>
        <w:jc w:val="both"/>
      </w:pPr>
      <w:r>
        <w:rPr>
          <w:rStyle w:val="Odwoanieprzypisudolnego"/>
        </w:rPr>
        <w:footnoteRef/>
      </w:r>
      <w:r>
        <w:t xml:space="preserve"> </w:t>
      </w:r>
      <w:r w:rsidRPr="00F33CC5">
        <w:t>T Balcar</w:t>
      </w:r>
      <w:r>
        <w:t xml:space="preserve">, B. Kasperek, </w:t>
      </w:r>
      <w:r w:rsidRPr="00F33CC5">
        <w:t>V</w:t>
      </w:r>
      <w:r>
        <w:t>.</w:t>
      </w:r>
      <w:r w:rsidRPr="00F33CC5">
        <w:t xml:space="preserve"> </w:t>
      </w:r>
      <w:proofErr w:type="spellStart"/>
      <w:r w:rsidRPr="00F33CC5">
        <w:t>Laštůvka</w:t>
      </w:r>
      <w:proofErr w:type="spellEnd"/>
      <w:r>
        <w:t xml:space="preserve">, M. Malaka, M. Olszewski, P. </w:t>
      </w:r>
      <w:r w:rsidRPr="00F33CC5">
        <w:t xml:space="preserve">Slováček </w:t>
      </w:r>
      <w:proofErr w:type="spellStart"/>
      <w:r w:rsidRPr="00F33CC5">
        <w:t>Rypienová</w:t>
      </w:r>
      <w:proofErr w:type="spellEnd"/>
      <w:r>
        <w:t>,</w:t>
      </w:r>
      <w:r w:rsidRPr="00F33CC5">
        <w:t xml:space="preserve"> </w:t>
      </w:r>
      <w:r>
        <w:t xml:space="preserve">Przyszła współpraca terytorialna w Euroregionie Śląsk Cieszyński – studium, Stowarzyszenie Rozwoju i Współpracy Regionalnej </w:t>
      </w:r>
      <w:proofErr w:type="spellStart"/>
      <w:r>
        <w:t>„Olza”</w:t>
      </w:r>
      <w:proofErr w:type="spellEnd"/>
      <w:r>
        <w:t>/</w:t>
      </w:r>
      <w:proofErr w:type="spellStart"/>
      <w:r>
        <w:t>Regionální</w:t>
      </w:r>
      <w:proofErr w:type="spellEnd"/>
      <w:r>
        <w:t xml:space="preserve"> </w:t>
      </w:r>
      <w:proofErr w:type="spellStart"/>
      <w:r>
        <w:t>sdružení</w:t>
      </w:r>
      <w:proofErr w:type="spellEnd"/>
      <w:r>
        <w:t xml:space="preserve"> </w:t>
      </w:r>
      <w:proofErr w:type="spellStart"/>
      <w:r>
        <w:t>územní</w:t>
      </w:r>
      <w:proofErr w:type="spellEnd"/>
      <w:r>
        <w:t xml:space="preserve"> </w:t>
      </w:r>
      <w:proofErr w:type="spellStart"/>
      <w:r>
        <w:t>spolupráce</w:t>
      </w:r>
      <w:proofErr w:type="spellEnd"/>
      <w:r>
        <w:t xml:space="preserve"> </w:t>
      </w:r>
      <w:proofErr w:type="spellStart"/>
      <w:r>
        <w:t>Těšínského</w:t>
      </w:r>
      <w:proofErr w:type="spellEnd"/>
      <w:r>
        <w:t xml:space="preserve"> </w:t>
      </w:r>
      <w:proofErr w:type="spellStart"/>
      <w:r>
        <w:t>Slezska</w:t>
      </w:r>
      <w:proofErr w:type="spellEnd"/>
      <w:r>
        <w:t xml:space="preserve">, </w:t>
      </w:r>
      <w:r w:rsidRPr="00F33CC5">
        <w:t>Cieszyn-</w:t>
      </w:r>
      <w:proofErr w:type="spellStart"/>
      <w:r w:rsidRPr="00F33CC5">
        <w:t>Český</w:t>
      </w:r>
      <w:proofErr w:type="spellEnd"/>
      <w:r w:rsidRPr="00F33CC5">
        <w:t xml:space="preserve"> </w:t>
      </w:r>
      <w:proofErr w:type="spellStart"/>
      <w:r w:rsidRPr="00F33CC5">
        <w:t>Těšín</w:t>
      </w:r>
      <w:proofErr w:type="spellEnd"/>
      <w:r w:rsidRPr="00F33CC5">
        <w:t xml:space="preserve"> 2015</w:t>
      </w:r>
      <w:r>
        <w:t xml:space="preserve">, 45 s. </w:t>
      </w:r>
    </w:p>
  </w:footnote>
  <w:footnote w:id="18">
    <w:p w14:paraId="47536871" w14:textId="77777777" w:rsidR="000752CB" w:rsidRDefault="000752CB" w:rsidP="000752CB">
      <w:pPr>
        <w:pStyle w:val="Tekstprzypisudolnego"/>
        <w:ind w:firstLine="284"/>
        <w:jc w:val="both"/>
      </w:pPr>
      <w:r>
        <w:rPr>
          <w:rStyle w:val="Odwoanieprzypisudolnego"/>
        </w:rPr>
        <w:footnoteRef/>
      </w:r>
      <w:r>
        <w:t xml:space="preserve"> M. Olszewski, </w:t>
      </w:r>
      <w:r w:rsidRPr="00E46EB3">
        <w:rPr>
          <w:i/>
          <w:iCs/>
        </w:rPr>
        <w:t>Model komunikacji w sytuacjach kryzysowych</w:t>
      </w:r>
      <w:r>
        <w:t xml:space="preserve">, Stowarzyszenie Rozwoju i Współpracy Regionalnej </w:t>
      </w:r>
      <w:proofErr w:type="spellStart"/>
      <w:r>
        <w:t>„Olza”</w:t>
      </w:r>
      <w:proofErr w:type="spellEnd"/>
      <w:r>
        <w:t>/</w:t>
      </w:r>
      <w:proofErr w:type="spellStart"/>
      <w:r>
        <w:t>Regionální</w:t>
      </w:r>
      <w:proofErr w:type="spellEnd"/>
      <w:r>
        <w:t xml:space="preserve"> </w:t>
      </w:r>
      <w:proofErr w:type="spellStart"/>
      <w:r>
        <w:t>sdružení</w:t>
      </w:r>
      <w:proofErr w:type="spellEnd"/>
      <w:r>
        <w:t xml:space="preserve"> </w:t>
      </w:r>
      <w:proofErr w:type="spellStart"/>
      <w:r>
        <w:t>územní</w:t>
      </w:r>
      <w:proofErr w:type="spellEnd"/>
      <w:r>
        <w:t xml:space="preserve"> </w:t>
      </w:r>
      <w:proofErr w:type="spellStart"/>
      <w:r>
        <w:t>spolupráce</w:t>
      </w:r>
      <w:proofErr w:type="spellEnd"/>
      <w:r>
        <w:t xml:space="preserve"> </w:t>
      </w:r>
      <w:proofErr w:type="spellStart"/>
      <w:r>
        <w:t>Těšínského</w:t>
      </w:r>
      <w:proofErr w:type="spellEnd"/>
      <w:r>
        <w:t xml:space="preserve"> </w:t>
      </w:r>
      <w:proofErr w:type="spellStart"/>
      <w:r>
        <w:t>Slezska</w:t>
      </w:r>
      <w:proofErr w:type="spellEnd"/>
      <w:r>
        <w:t>, Cieszyn 2020, 103 s.</w:t>
      </w:r>
    </w:p>
  </w:footnote>
  <w:footnote w:id="19">
    <w:p w14:paraId="65DA8D84" w14:textId="77777777" w:rsidR="000752CB" w:rsidRDefault="000752CB" w:rsidP="000752CB">
      <w:pPr>
        <w:pStyle w:val="Tekstprzypisudolnego"/>
        <w:ind w:firstLine="284"/>
      </w:pPr>
      <w:r>
        <w:rPr>
          <w:rStyle w:val="Odwoanieprzypisudolnego"/>
        </w:rPr>
        <w:footnoteRef/>
      </w:r>
      <w:r>
        <w:t xml:space="preserve"> </w:t>
      </w:r>
      <w:hyperlink r:id="rId1" w:history="1">
        <w:r w:rsidRPr="004C418E">
          <w:rPr>
            <w:rStyle w:val="Hipercze"/>
          </w:rPr>
          <w:t>www.euro-in.org</w:t>
        </w:r>
      </w:hyperlink>
    </w:p>
  </w:footnote>
  <w:footnote w:id="20">
    <w:p w14:paraId="0C73F253" w14:textId="77777777" w:rsidR="000752CB" w:rsidRDefault="000752CB" w:rsidP="000752CB">
      <w:pPr>
        <w:pStyle w:val="Tekstprzypisudolnego"/>
        <w:ind w:firstLine="284"/>
        <w:jc w:val="both"/>
      </w:pPr>
      <w:r>
        <w:rPr>
          <w:rStyle w:val="Odwoanieprzypisudolnego"/>
        </w:rPr>
        <w:footnoteRef/>
      </w:r>
      <w:r>
        <w:t xml:space="preserve"> Program „Chcemy, abyście o Nas wiedzieli” służy promocji działalności transgranicznej w obszarze Euroregionu Śląsk Cieszyński, ze szczególnym uwzględnieniem transferu wiedzy i dobrych praktyk oraz wzmacniania współpracy z instytucjami z innych granic europejskich, w tym z pogranicza francusko-niemieckiego (EUWT </w:t>
      </w:r>
      <w:proofErr w:type="spellStart"/>
      <w:r>
        <w:t>Eurodystrykt</w:t>
      </w:r>
      <w:proofErr w:type="spellEnd"/>
      <w:r>
        <w:t xml:space="preserve"> PAMINA) oraz z sieci TEIN (</w:t>
      </w:r>
      <w:r w:rsidRPr="0074481D">
        <w:rPr>
          <w:i/>
          <w:iCs/>
        </w:rPr>
        <w:t xml:space="preserve">ang. </w:t>
      </w:r>
      <w:proofErr w:type="spellStart"/>
      <w:r w:rsidRPr="0074481D">
        <w:rPr>
          <w:i/>
          <w:iCs/>
        </w:rPr>
        <w:t>Transfrontier</w:t>
      </w:r>
      <w:proofErr w:type="spellEnd"/>
      <w:r w:rsidRPr="0074481D">
        <w:rPr>
          <w:i/>
          <w:iCs/>
        </w:rPr>
        <w:t xml:space="preserve"> Euro-</w:t>
      </w:r>
      <w:proofErr w:type="spellStart"/>
      <w:r w:rsidRPr="0074481D">
        <w:rPr>
          <w:i/>
          <w:iCs/>
        </w:rPr>
        <w:t>Institut</w:t>
      </w:r>
      <w:proofErr w:type="spellEnd"/>
      <w:r w:rsidRPr="0074481D">
        <w:rPr>
          <w:i/>
          <w:iCs/>
        </w:rPr>
        <w:t xml:space="preserve"> Network</w:t>
      </w:r>
      <w:r>
        <w:t>).</w:t>
      </w:r>
    </w:p>
  </w:footnote>
  <w:footnote w:id="21">
    <w:p w14:paraId="572406CF" w14:textId="77777777" w:rsidR="000752CB" w:rsidRDefault="000752CB" w:rsidP="000752CB">
      <w:pPr>
        <w:pStyle w:val="Tekstprzypisudolnego"/>
        <w:ind w:firstLine="284"/>
        <w:jc w:val="both"/>
      </w:pPr>
      <w:r>
        <w:rPr>
          <w:rStyle w:val="Odwoanieprzypisudolnego"/>
        </w:rPr>
        <w:footnoteRef/>
      </w:r>
      <w:r>
        <w:t xml:space="preserve"> </w:t>
      </w:r>
      <w:r w:rsidRPr="00271D19">
        <w:t>Program „</w:t>
      </w:r>
      <w:proofErr w:type="spellStart"/>
      <w:r w:rsidRPr="00271D19">
        <w:t>EuroInstytut</w:t>
      </w:r>
      <w:proofErr w:type="spellEnd"/>
      <w:r w:rsidRPr="00271D19">
        <w:t xml:space="preserve"> Polsko-Czesko-Słowacki”</w:t>
      </w:r>
      <w:r>
        <w:t xml:space="preserve"> </w:t>
      </w:r>
      <w:r w:rsidRPr="00271D19">
        <w:t>ma na celu tworzenie i rozwój międzynarodowego</w:t>
      </w:r>
      <w:r>
        <w:t xml:space="preserve"> </w:t>
      </w:r>
      <w:r w:rsidRPr="00271D19">
        <w:t>ośrodka ds. kształcenia transgranicznego prowadzącego działalność szkoleniowo-doradczą, koncepcyjno-badawczą i edukacyjno-wydawniczą, uwzględniającą realizację zadań publicznych leżących we wspólnym</w:t>
      </w:r>
      <w:r>
        <w:t xml:space="preserve"> </w:t>
      </w:r>
      <w:r w:rsidRPr="00271D19">
        <w:t>interesie Polski, Czech i Słowacji</w:t>
      </w:r>
      <w:r>
        <w:t>.</w:t>
      </w:r>
    </w:p>
  </w:footnote>
  <w:footnote w:id="22">
    <w:p w14:paraId="1C2616EE" w14:textId="77777777" w:rsidR="000752CB" w:rsidRDefault="000752CB" w:rsidP="000752CB">
      <w:pPr>
        <w:pStyle w:val="Tekstprzypisudolnego"/>
        <w:ind w:firstLine="284"/>
        <w:jc w:val="both"/>
      </w:pPr>
      <w:r>
        <w:rPr>
          <w:rStyle w:val="Odwoanieprzypisudolnego"/>
        </w:rPr>
        <w:footnoteRef/>
      </w:r>
      <w:r>
        <w:t xml:space="preserve"> </w:t>
      </w:r>
      <w:r w:rsidRPr="00271D19">
        <w:t>Program „MODEL”</w:t>
      </w:r>
      <w:r>
        <w:rPr>
          <w:b/>
          <w:bCs/>
          <w:iCs/>
        </w:rPr>
        <w:t xml:space="preserve"> </w:t>
      </w:r>
      <w:r w:rsidRPr="00271D19">
        <w:rPr>
          <w:bCs/>
          <w:iCs/>
        </w:rPr>
        <w:t>ma na celu</w:t>
      </w:r>
      <w:r w:rsidRPr="00271D19">
        <w:rPr>
          <w:bCs/>
        </w:rPr>
        <w:t xml:space="preserve"> </w:t>
      </w:r>
      <w:r w:rsidRPr="00271D19">
        <w:t xml:space="preserve">wzmacnianie polsko-czeskiej współpracy instytucji i społeczności w przypadku nagłych i nieoczekiwanych przeszkód, a także przygotowanie się na wystąpienie tego typu sytuacji, zwłaszcza w odniesieniu do pandemii COVID-19 oraz okresu </w:t>
      </w:r>
      <w:proofErr w:type="spellStart"/>
      <w:r w:rsidRPr="00271D19">
        <w:t>po</w:t>
      </w:r>
      <w:r>
        <w:t>p</w:t>
      </w:r>
      <w:r w:rsidRPr="00271D19">
        <w:t>andemicznego</w:t>
      </w:r>
      <w:proofErr w:type="spellEnd"/>
      <w:r>
        <w:t>.</w:t>
      </w:r>
    </w:p>
  </w:footnote>
  <w:footnote w:id="23">
    <w:p w14:paraId="7C4A793B" w14:textId="5A0522F1" w:rsidR="000752CB" w:rsidRDefault="000752CB" w:rsidP="000752CB">
      <w:pPr>
        <w:pStyle w:val="Tekstprzypisudolnego"/>
        <w:ind w:firstLine="284"/>
        <w:jc w:val="both"/>
      </w:pPr>
      <w:r>
        <w:rPr>
          <w:rStyle w:val="Odwoanieprzypisudolnego"/>
        </w:rPr>
        <w:footnoteRef/>
      </w:r>
      <w:r w:rsidRPr="000207B2">
        <w:rPr>
          <w:lang w:val="en-GB"/>
        </w:rPr>
        <w:t xml:space="preserve"> A. Jakubowski, K. Trykacz, T. Studzieniecki,  J. Skibiński, </w:t>
      </w:r>
      <w:r w:rsidRPr="000207B2">
        <w:rPr>
          <w:i/>
          <w:iCs/>
          <w:lang w:val="en-GB"/>
        </w:rPr>
        <w:t>Identifying cross-border functional areas: conceptual background and empirical findings from Polish borderlands</w:t>
      </w:r>
      <w:r w:rsidRPr="000207B2">
        <w:rPr>
          <w:lang w:val="en-GB"/>
        </w:rPr>
        <w:t>…op.cit. s. 2440-244</w:t>
      </w:r>
      <w:r w:rsidR="00242E81" w:rsidRPr="000207B2">
        <w:rPr>
          <w:lang w:val="en-GB"/>
        </w:rPr>
        <w:t>3</w:t>
      </w:r>
      <w:r w:rsidRPr="000207B2">
        <w:rPr>
          <w:lang w:val="en-GB"/>
        </w:rPr>
        <w:t>.</w:t>
      </w:r>
      <w:r w:rsidR="00C752BA" w:rsidRPr="000207B2">
        <w:rPr>
          <w:lang w:val="en-GB"/>
        </w:rPr>
        <w:t xml:space="preserve"> </w:t>
      </w:r>
      <w:r w:rsidR="00783FD7">
        <w:t>Tylko z</w:t>
      </w:r>
      <w:r w:rsidR="00C752BA">
        <w:t xml:space="preserve">astosowanie wszystkich czterech kryteriów jednocześnie pozwoli na prawidłowe </w:t>
      </w:r>
      <w:r w:rsidR="00C752BA" w:rsidRPr="00C752BA">
        <w:t>tworzeni</w:t>
      </w:r>
      <w:r w:rsidR="00C752BA">
        <w:t>e</w:t>
      </w:r>
      <w:r w:rsidR="00C752BA" w:rsidRPr="00C752BA">
        <w:t xml:space="preserve"> i rozw</w:t>
      </w:r>
      <w:r w:rsidR="00C752BA">
        <w:t>ój</w:t>
      </w:r>
      <w:r w:rsidR="00C752BA" w:rsidRPr="00C752BA">
        <w:t xml:space="preserve"> transgranicznych obszarów funkcjonalnych w Euroregionie Śląsk Cieszyński</w:t>
      </w:r>
      <w:r w:rsidR="00C752BA">
        <w:t>.</w:t>
      </w:r>
    </w:p>
  </w:footnote>
  <w:footnote w:id="24">
    <w:p w14:paraId="5019C54B" w14:textId="2A8273DF" w:rsidR="000752CB" w:rsidRDefault="000752CB" w:rsidP="000752CB">
      <w:pPr>
        <w:pStyle w:val="Tekstprzypisudolnego"/>
        <w:ind w:firstLine="284"/>
        <w:jc w:val="both"/>
      </w:pPr>
      <w:r>
        <w:rPr>
          <w:rStyle w:val="Odwoanieprzypisudolnego"/>
        </w:rPr>
        <w:footnoteRef/>
      </w:r>
      <w:r>
        <w:t xml:space="preserve"> W przypadku Euroregionu Śląsk Cieszyński należy wciąć pod uwagę </w:t>
      </w:r>
      <w:r w:rsidR="00FE36AF">
        <w:t>jednostki terytorialne – gminy, powiaty</w:t>
      </w:r>
      <w:r>
        <w:t xml:space="preserve">. </w:t>
      </w:r>
      <w:r w:rsidRPr="000752CB">
        <w:t xml:space="preserve">Statystyka powinna opierać </w:t>
      </w:r>
      <w:r>
        <w:t xml:space="preserve">się </w:t>
      </w:r>
      <w:r w:rsidR="00FE36AF">
        <w:t xml:space="preserve">zwłaszcza </w:t>
      </w:r>
      <w:r w:rsidRPr="000752CB">
        <w:t>na danych Głównego Urzędu Statystycznego i Czeskiego Urzędu Statystycznego (</w:t>
      </w:r>
      <w:r w:rsidR="0074481D" w:rsidRPr="0074481D">
        <w:rPr>
          <w:i/>
          <w:iCs/>
        </w:rPr>
        <w:t>czes.</w:t>
      </w:r>
      <w:r w:rsidR="0074481D">
        <w:t xml:space="preserve"> </w:t>
      </w:r>
      <w:proofErr w:type="spellStart"/>
      <w:r w:rsidRPr="000752CB">
        <w:rPr>
          <w:i/>
          <w:iCs/>
        </w:rPr>
        <w:t>Český</w:t>
      </w:r>
      <w:proofErr w:type="spellEnd"/>
      <w:r w:rsidRPr="000752CB">
        <w:rPr>
          <w:i/>
          <w:iCs/>
        </w:rPr>
        <w:t xml:space="preserve"> </w:t>
      </w:r>
      <w:proofErr w:type="spellStart"/>
      <w:r w:rsidRPr="000752CB">
        <w:rPr>
          <w:i/>
          <w:iCs/>
        </w:rPr>
        <w:t>statistický</w:t>
      </w:r>
      <w:proofErr w:type="spellEnd"/>
      <w:r w:rsidRPr="000752CB">
        <w:rPr>
          <w:i/>
          <w:iCs/>
        </w:rPr>
        <w:t xml:space="preserve"> </w:t>
      </w:r>
      <w:proofErr w:type="spellStart"/>
      <w:r w:rsidRPr="000752CB">
        <w:rPr>
          <w:i/>
          <w:iCs/>
        </w:rPr>
        <w:t>úřad</w:t>
      </w:r>
      <w:proofErr w:type="spellEnd"/>
      <w:r w:rsidRPr="000752CB">
        <w:t>).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560DAE" w14:textId="77777777" w:rsidR="000207B2" w:rsidRDefault="000207B2" w:rsidP="000207B2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D577A4B" wp14:editId="0FFB5DED">
          <wp:simplePos x="0" y="0"/>
          <wp:positionH relativeFrom="column">
            <wp:posOffset>4935855</wp:posOffset>
          </wp:positionH>
          <wp:positionV relativeFrom="paragraph">
            <wp:posOffset>77470</wp:posOffset>
          </wp:positionV>
          <wp:extent cx="774065" cy="316865"/>
          <wp:effectExtent l="0" t="0" r="6985" b="6985"/>
          <wp:wrapSquare wrapText="bothSides"/>
          <wp:docPr id="175840695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4065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394EF5EF" wp14:editId="253DAB71">
          <wp:extent cx="2566670" cy="640080"/>
          <wp:effectExtent l="0" t="0" r="5080" b="7620"/>
          <wp:docPr id="16162356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66670" cy="640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F61D141" w14:textId="32864B3B" w:rsidR="000207B2" w:rsidRDefault="000207B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E45DF"/>
    <w:multiLevelType w:val="hybridMultilevel"/>
    <w:tmpl w:val="A202C798"/>
    <w:lvl w:ilvl="0" w:tplc="78501A7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85A48"/>
    <w:multiLevelType w:val="hybridMultilevel"/>
    <w:tmpl w:val="7278DF64"/>
    <w:lvl w:ilvl="0" w:tplc="78501A7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C5510C"/>
    <w:multiLevelType w:val="hybridMultilevel"/>
    <w:tmpl w:val="F4A28E7C"/>
    <w:lvl w:ilvl="0" w:tplc="78501A7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D6935"/>
    <w:multiLevelType w:val="hybridMultilevel"/>
    <w:tmpl w:val="EE6C443A"/>
    <w:lvl w:ilvl="0" w:tplc="FFFFFFFF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5C33EB9"/>
    <w:multiLevelType w:val="hybridMultilevel"/>
    <w:tmpl w:val="BD90CCEC"/>
    <w:lvl w:ilvl="0" w:tplc="16C609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C8096B0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HAns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6E591D"/>
    <w:multiLevelType w:val="hybridMultilevel"/>
    <w:tmpl w:val="00C26534"/>
    <w:lvl w:ilvl="0" w:tplc="78501A7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D10B6A"/>
    <w:multiLevelType w:val="hybridMultilevel"/>
    <w:tmpl w:val="134207F2"/>
    <w:lvl w:ilvl="0" w:tplc="16C6092A">
      <w:start w:val="1"/>
      <w:numFmt w:val="bullet"/>
      <w:lvlText w:val=""/>
      <w:lvlJc w:val="left"/>
      <w:pPr>
        <w:ind w:left="26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7A4269"/>
    <w:multiLevelType w:val="multilevel"/>
    <w:tmpl w:val="DCFA0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A375FFB"/>
    <w:multiLevelType w:val="hybridMultilevel"/>
    <w:tmpl w:val="029C9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394199"/>
    <w:multiLevelType w:val="hybridMultilevel"/>
    <w:tmpl w:val="44D64716"/>
    <w:lvl w:ilvl="0" w:tplc="78501A7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D3486E"/>
    <w:multiLevelType w:val="hybridMultilevel"/>
    <w:tmpl w:val="C03EC19C"/>
    <w:lvl w:ilvl="0" w:tplc="78501A7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0C5346"/>
    <w:multiLevelType w:val="hybridMultilevel"/>
    <w:tmpl w:val="D806E196"/>
    <w:lvl w:ilvl="0" w:tplc="78501A7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4E6252"/>
    <w:multiLevelType w:val="hybridMultilevel"/>
    <w:tmpl w:val="2E8613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6B1D47"/>
    <w:multiLevelType w:val="hybridMultilevel"/>
    <w:tmpl w:val="AED6D176"/>
    <w:lvl w:ilvl="0" w:tplc="78501A7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C221D6"/>
    <w:multiLevelType w:val="hybridMultilevel"/>
    <w:tmpl w:val="71E01FE2"/>
    <w:lvl w:ilvl="0" w:tplc="78501A7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72665F"/>
    <w:multiLevelType w:val="hybridMultilevel"/>
    <w:tmpl w:val="45088F6C"/>
    <w:lvl w:ilvl="0" w:tplc="16C609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6B160E"/>
    <w:multiLevelType w:val="hybridMultilevel"/>
    <w:tmpl w:val="7682DF68"/>
    <w:lvl w:ilvl="0" w:tplc="78501A7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6956A7"/>
    <w:multiLevelType w:val="hybridMultilevel"/>
    <w:tmpl w:val="22E6519E"/>
    <w:lvl w:ilvl="0" w:tplc="78501A7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3D5CCA"/>
    <w:multiLevelType w:val="hybridMultilevel"/>
    <w:tmpl w:val="DAB26C58"/>
    <w:lvl w:ilvl="0" w:tplc="78501A7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F23354"/>
    <w:multiLevelType w:val="hybridMultilevel"/>
    <w:tmpl w:val="AFD86750"/>
    <w:lvl w:ilvl="0" w:tplc="78501A7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0A4721"/>
    <w:multiLevelType w:val="hybridMultilevel"/>
    <w:tmpl w:val="EE6C443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47FC4149"/>
    <w:multiLevelType w:val="hybridMultilevel"/>
    <w:tmpl w:val="5E4E55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8F468E"/>
    <w:multiLevelType w:val="hybridMultilevel"/>
    <w:tmpl w:val="09F09C5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0423F87"/>
    <w:multiLevelType w:val="hybridMultilevel"/>
    <w:tmpl w:val="E27438D6"/>
    <w:lvl w:ilvl="0" w:tplc="78501A7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C94238"/>
    <w:multiLevelType w:val="hybridMultilevel"/>
    <w:tmpl w:val="65643DDE"/>
    <w:lvl w:ilvl="0" w:tplc="78501A7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3C69EA"/>
    <w:multiLevelType w:val="hybridMultilevel"/>
    <w:tmpl w:val="E4CE5DB0"/>
    <w:lvl w:ilvl="0" w:tplc="78501A7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2831C9"/>
    <w:multiLevelType w:val="hybridMultilevel"/>
    <w:tmpl w:val="6A2A5EDE"/>
    <w:lvl w:ilvl="0" w:tplc="78501A7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397342"/>
    <w:multiLevelType w:val="hybridMultilevel"/>
    <w:tmpl w:val="EFCC0DB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1B20EDB"/>
    <w:multiLevelType w:val="hybridMultilevel"/>
    <w:tmpl w:val="1C30D73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CBB58F1"/>
    <w:multiLevelType w:val="hybridMultilevel"/>
    <w:tmpl w:val="9CCCAF78"/>
    <w:lvl w:ilvl="0" w:tplc="78501A7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9216814">
    <w:abstractNumId w:val="20"/>
  </w:num>
  <w:num w:numId="2" w16cid:durableId="324939972">
    <w:abstractNumId w:val="1"/>
  </w:num>
  <w:num w:numId="3" w16cid:durableId="1357197097">
    <w:abstractNumId w:val="0"/>
  </w:num>
  <w:num w:numId="4" w16cid:durableId="680085922">
    <w:abstractNumId w:val="2"/>
  </w:num>
  <w:num w:numId="5" w16cid:durableId="1762599938">
    <w:abstractNumId w:val="9"/>
  </w:num>
  <w:num w:numId="6" w16cid:durableId="549994884">
    <w:abstractNumId w:val="16"/>
  </w:num>
  <w:num w:numId="7" w16cid:durableId="1150098047">
    <w:abstractNumId w:val="18"/>
  </w:num>
  <w:num w:numId="8" w16cid:durableId="1818372098">
    <w:abstractNumId w:val="10"/>
  </w:num>
  <w:num w:numId="9" w16cid:durableId="1119378033">
    <w:abstractNumId w:val="26"/>
  </w:num>
  <w:num w:numId="10" w16cid:durableId="1680502952">
    <w:abstractNumId w:val="13"/>
  </w:num>
  <w:num w:numId="11" w16cid:durableId="1222671053">
    <w:abstractNumId w:val="24"/>
  </w:num>
  <w:num w:numId="12" w16cid:durableId="1960605506">
    <w:abstractNumId w:val="8"/>
  </w:num>
  <w:num w:numId="13" w16cid:durableId="6100440">
    <w:abstractNumId w:val="21"/>
  </w:num>
  <w:num w:numId="14" w16cid:durableId="239214748">
    <w:abstractNumId w:val="22"/>
  </w:num>
  <w:num w:numId="15" w16cid:durableId="1592084020">
    <w:abstractNumId w:val="3"/>
  </w:num>
  <w:num w:numId="16" w16cid:durableId="1985961169">
    <w:abstractNumId w:val="4"/>
  </w:num>
  <w:num w:numId="17" w16cid:durableId="231621188">
    <w:abstractNumId w:val="6"/>
  </w:num>
  <w:num w:numId="18" w16cid:durableId="2042591161">
    <w:abstractNumId w:val="14"/>
  </w:num>
  <w:num w:numId="19" w16cid:durableId="1716811570">
    <w:abstractNumId w:val="5"/>
  </w:num>
  <w:num w:numId="20" w16cid:durableId="2080859255">
    <w:abstractNumId w:val="29"/>
  </w:num>
  <w:num w:numId="21" w16cid:durableId="2056193121">
    <w:abstractNumId w:val="7"/>
  </w:num>
  <w:num w:numId="22" w16cid:durableId="1777866311">
    <w:abstractNumId w:val="19"/>
  </w:num>
  <w:num w:numId="23" w16cid:durableId="634332664">
    <w:abstractNumId w:val="25"/>
  </w:num>
  <w:num w:numId="24" w16cid:durableId="902981965">
    <w:abstractNumId w:val="15"/>
  </w:num>
  <w:num w:numId="25" w16cid:durableId="881480154">
    <w:abstractNumId w:val="23"/>
  </w:num>
  <w:num w:numId="26" w16cid:durableId="474882014">
    <w:abstractNumId w:val="17"/>
  </w:num>
  <w:num w:numId="27" w16cid:durableId="1375617299">
    <w:abstractNumId w:val="12"/>
  </w:num>
  <w:num w:numId="28" w16cid:durableId="637220199">
    <w:abstractNumId w:val="27"/>
  </w:num>
  <w:num w:numId="29" w16cid:durableId="927814103">
    <w:abstractNumId w:val="28"/>
  </w:num>
  <w:num w:numId="30" w16cid:durableId="142850545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DD4"/>
    <w:rsid w:val="000001FA"/>
    <w:rsid w:val="00020712"/>
    <w:rsid w:val="000207B2"/>
    <w:rsid w:val="000752CB"/>
    <w:rsid w:val="000753B1"/>
    <w:rsid w:val="00080FE6"/>
    <w:rsid w:val="000B259E"/>
    <w:rsid w:val="000D0C9A"/>
    <w:rsid w:val="000E1580"/>
    <w:rsid w:val="000E3CCF"/>
    <w:rsid w:val="00103953"/>
    <w:rsid w:val="00133CF9"/>
    <w:rsid w:val="001423E4"/>
    <w:rsid w:val="00146E2F"/>
    <w:rsid w:val="001565DB"/>
    <w:rsid w:val="00162192"/>
    <w:rsid w:val="00163ED3"/>
    <w:rsid w:val="00166391"/>
    <w:rsid w:val="00166607"/>
    <w:rsid w:val="00177C7C"/>
    <w:rsid w:val="001877E2"/>
    <w:rsid w:val="00193975"/>
    <w:rsid w:val="001A4E69"/>
    <w:rsid w:val="001B0F93"/>
    <w:rsid w:val="001B4BA7"/>
    <w:rsid w:val="001B5AE7"/>
    <w:rsid w:val="001C17F7"/>
    <w:rsid w:val="0021270D"/>
    <w:rsid w:val="002216FF"/>
    <w:rsid w:val="00240DD9"/>
    <w:rsid w:val="00242E81"/>
    <w:rsid w:val="002472EA"/>
    <w:rsid w:val="00271D19"/>
    <w:rsid w:val="0027502B"/>
    <w:rsid w:val="002B6B60"/>
    <w:rsid w:val="002C1107"/>
    <w:rsid w:val="002C3238"/>
    <w:rsid w:val="003015EE"/>
    <w:rsid w:val="003201D5"/>
    <w:rsid w:val="0032159D"/>
    <w:rsid w:val="00341B4F"/>
    <w:rsid w:val="00352620"/>
    <w:rsid w:val="003704B0"/>
    <w:rsid w:val="003730C3"/>
    <w:rsid w:val="003A0712"/>
    <w:rsid w:val="003A43B2"/>
    <w:rsid w:val="003B0C6F"/>
    <w:rsid w:val="003B1BF2"/>
    <w:rsid w:val="003D77A7"/>
    <w:rsid w:val="003D7BB0"/>
    <w:rsid w:val="003E037C"/>
    <w:rsid w:val="00401F0E"/>
    <w:rsid w:val="00421AE4"/>
    <w:rsid w:val="00447F33"/>
    <w:rsid w:val="004566AE"/>
    <w:rsid w:val="00472873"/>
    <w:rsid w:val="0049003F"/>
    <w:rsid w:val="004A7297"/>
    <w:rsid w:val="004C760E"/>
    <w:rsid w:val="004D504B"/>
    <w:rsid w:val="004E71A4"/>
    <w:rsid w:val="00504322"/>
    <w:rsid w:val="00512135"/>
    <w:rsid w:val="00543AF8"/>
    <w:rsid w:val="0055578A"/>
    <w:rsid w:val="005812D2"/>
    <w:rsid w:val="0058356B"/>
    <w:rsid w:val="00583D30"/>
    <w:rsid w:val="005A56A0"/>
    <w:rsid w:val="005C354E"/>
    <w:rsid w:val="005D6795"/>
    <w:rsid w:val="005F6261"/>
    <w:rsid w:val="00601FED"/>
    <w:rsid w:val="00622C7F"/>
    <w:rsid w:val="00625365"/>
    <w:rsid w:val="00626637"/>
    <w:rsid w:val="006446A3"/>
    <w:rsid w:val="006458D9"/>
    <w:rsid w:val="00664072"/>
    <w:rsid w:val="006A3813"/>
    <w:rsid w:val="006A4C90"/>
    <w:rsid w:val="006D4E83"/>
    <w:rsid w:val="006E502B"/>
    <w:rsid w:val="006F04CC"/>
    <w:rsid w:val="007107E8"/>
    <w:rsid w:val="007345A8"/>
    <w:rsid w:val="0074481D"/>
    <w:rsid w:val="00757F28"/>
    <w:rsid w:val="007604D2"/>
    <w:rsid w:val="007653A2"/>
    <w:rsid w:val="00776646"/>
    <w:rsid w:val="007775B7"/>
    <w:rsid w:val="00781ACE"/>
    <w:rsid w:val="00783FD7"/>
    <w:rsid w:val="00794751"/>
    <w:rsid w:val="007A3703"/>
    <w:rsid w:val="007A39E5"/>
    <w:rsid w:val="007B189D"/>
    <w:rsid w:val="007E63F1"/>
    <w:rsid w:val="00806CF3"/>
    <w:rsid w:val="00835955"/>
    <w:rsid w:val="0088417E"/>
    <w:rsid w:val="00884EA7"/>
    <w:rsid w:val="008A1E5D"/>
    <w:rsid w:val="008A4974"/>
    <w:rsid w:val="008A5065"/>
    <w:rsid w:val="008A5C20"/>
    <w:rsid w:val="008B47A3"/>
    <w:rsid w:val="008C7064"/>
    <w:rsid w:val="008C7A5E"/>
    <w:rsid w:val="008D095B"/>
    <w:rsid w:val="008F745D"/>
    <w:rsid w:val="00903A9D"/>
    <w:rsid w:val="00912652"/>
    <w:rsid w:val="0094328E"/>
    <w:rsid w:val="009474E9"/>
    <w:rsid w:val="009477DB"/>
    <w:rsid w:val="00950065"/>
    <w:rsid w:val="00960879"/>
    <w:rsid w:val="00975251"/>
    <w:rsid w:val="00983B80"/>
    <w:rsid w:val="009B20C8"/>
    <w:rsid w:val="009B715C"/>
    <w:rsid w:val="009C5268"/>
    <w:rsid w:val="009D0EA2"/>
    <w:rsid w:val="009E2851"/>
    <w:rsid w:val="009E53EC"/>
    <w:rsid w:val="009E5E6F"/>
    <w:rsid w:val="009F6EC4"/>
    <w:rsid w:val="00A2649B"/>
    <w:rsid w:val="00A272D9"/>
    <w:rsid w:val="00A571DE"/>
    <w:rsid w:val="00A748A9"/>
    <w:rsid w:val="00A86458"/>
    <w:rsid w:val="00A92F7F"/>
    <w:rsid w:val="00AA0E9B"/>
    <w:rsid w:val="00AA37E1"/>
    <w:rsid w:val="00AB23C5"/>
    <w:rsid w:val="00AC5BA8"/>
    <w:rsid w:val="00AE2F75"/>
    <w:rsid w:val="00AE507F"/>
    <w:rsid w:val="00AE59D4"/>
    <w:rsid w:val="00AF2A86"/>
    <w:rsid w:val="00B26966"/>
    <w:rsid w:val="00B54AFC"/>
    <w:rsid w:val="00B54B56"/>
    <w:rsid w:val="00B758CC"/>
    <w:rsid w:val="00B9607A"/>
    <w:rsid w:val="00BB0C35"/>
    <w:rsid w:val="00BD1075"/>
    <w:rsid w:val="00BE63B6"/>
    <w:rsid w:val="00BF1A3D"/>
    <w:rsid w:val="00C20B49"/>
    <w:rsid w:val="00C32CC3"/>
    <w:rsid w:val="00C45F81"/>
    <w:rsid w:val="00C47724"/>
    <w:rsid w:val="00C71EB7"/>
    <w:rsid w:val="00C752BA"/>
    <w:rsid w:val="00C83D82"/>
    <w:rsid w:val="00C9155A"/>
    <w:rsid w:val="00C93724"/>
    <w:rsid w:val="00C96BB2"/>
    <w:rsid w:val="00CB672F"/>
    <w:rsid w:val="00CC136F"/>
    <w:rsid w:val="00CD3385"/>
    <w:rsid w:val="00CE3321"/>
    <w:rsid w:val="00CE7DBE"/>
    <w:rsid w:val="00CF71B2"/>
    <w:rsid w:val="00D1200C"/>
    <w:rsid w:val="00D1401D"/>
    <w:rsid w:val="00D33068"/>
    <w:rsid w:val="00D350D3"/>
    <w:rsid w:val="00D56FBA"/>
    <w:rsid w:val="00D83009"/>
    <w:rsid w:val="00DA20F5"/>
    <w:rsid w:val="00DF72E7"/>
    <w:rsid w:val="00E35494"/>
    <w:rsid w:val="00E46EB3"/>
    <w:rsid w:val="00E830CF"/>
    <w:rsid w:val="00E84B6A"/>
    <w:rsid w:val="00E850A7"/>
    <w:rsid w:val="00E978CA"/>
    <w:rsid w:val="00EB0382"/>
    <w:rsid w:val="00EB2DBB"/>
    <w:rsid w:val="00EC1311"/>
    <w:rsid w:val="00EC4351"/>
    <w:rsid w:val="00EF1DD4"/>
    <w:rsid w:val="00EF651F"/>
    <w:rsid w:val="00F007D1"/>
    <w:rsid w:val="00F2334D"/>
    <w:rsid w:val="00F25FAE"/>
    <w:rsid w:val="00F33CC5"/>
    <w:rsid w:val="00F81D6F"/>
    <w:rsid w:val="00F82137"/>
    <w:rsid w:val="00FA1DFE"/>
    <w:rsid w:val="00FA652A"/>
    <w:rsid w:val="00FC5D53"/>
    <w:rsid w:val="00FC66F1"/>
    <w:rsid w:val="00FE36AF"/>
    <w:rsid w:val="00FE3E2F"/>
    <w:rsid w:val="00FF0992"/>
    <w:rsid w:val="00FF4D35"/>
    <w:rsid w:val="00FF6B31"/>
    <w:rsid w:val="00FF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2DAE3"/>
  <w15:chartTrackingRefBased/>
  <w15:docId w15:val="{ABB6F047-5990-41CB-B4D2-EC901939C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52C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C7A5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25F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25FAE"/>
  </w:style>
  <w:style w:type="paragraph" w:styleId="Stopka">
    <w:name w:val="footer"/>
    <w:basedOn w:val="Normalny"/>
    <w:link w:val="StopkaZnak"/>
    <w:uiPriority w:val="99"/>
    <w:unhideWhenUsed/>
    <w:rsid w:val="00F25F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25FAE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25FA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25FAE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F25FAE"/>
    <w:rPr>
      <w:vertAlign w:val="superscript"/>
    </w:rPr>
  </w:style>
  <w:style w:type="table" w:styleId="Tabela-Siatka">
    <w:name w:val="Table Grid"/>
    <w:basedOn w:val="Standardowy"/>
    <w:uiPriority w:val="39"/>
    <w:rsid w:val="004A72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A0E9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Tekstpodstawowy">
    <w:name w:val="Body Text"/>
    <w:basedOn w:val="Normalny"/>
    <w:link w:val="TekstpodstawowyZnak"/>
    <w:rsid w:val="006A4C90"/>
    <w:pPr>
      <w:widowControl w:val="0"/>
      <w:suppressAutoHyphens/>
      <w:spacing w:after="120" w:line="240" w:lineRule="auto"/>
    </w:pPr>
    <w:rPr>
      <w:rFonts w:ascii="Times New Roman" w:eastAsia="Arial Unicode MS" w:hAnsi="Times New Roman" w:cs="Times New Roman"/>
      <w:color w:val="000000"/>
      <w:kern w:val="0"/>
      <w:sz w:val="24"/>
      <w:szCs w:val="24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6A4C90"/>
    <w:rPr>
      <w:rFonts w:ascii="Times New Roman" w:eastAsia="Arial Unicode MS" w:hAnsi="Times New Roman" w:cs="Times New Roman"/>
      <w:color w:val="000000"/>
      <w:kern w:val="0"/>
      <w:sz w:val="24"/>
      <w:szCs w:val="24"/>
      <w14:ligatures w14:val="none"/>
    </w:rPr>
  </w:style>
  <w:style w:type="character" w:styleId="Hipercze">
    <w:name w:val="Hyperlink"/>
    <w:basedOn w:val="Domylnaczcionkaakapitu"/>
    <w:uiPriority w:val="99"/>
    <w:unhideWhenUsed/>
    <w:rsid w:val="0066407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640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25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65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24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0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33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ro-in.or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C87982-0D7E-4AD9-AE40-B48B8D841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1880</TotalTime>
  <Pages>7</Pages>
  <Words>2191</Words>
  <Characters>13146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Olszewski</dc:creator>
  <cp:keywords/>
  <dc:description/>
  <cp:lastModifiedBy>Bogdan Kasperek</cp:lastModifiedBy>
  <cp:revision>87</cp:revision>
  <dcterms:created xsi:type="dcterms:W3CDTF">2024-05-28T07:56:00Z</dcterms:created>
  <dcterms:modified xsi:type="dcterms:W3CDTF">2024-10-21T13:11:00Z</dcterms:modified>
</cp:coreProperties>
</file>